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8E8" w:rsidRDefault="001168E8" w:rsidP="001168E8">
      <w:r>
        <w:t>The Centre for Medieva</w:t>
      </w:r>
      <w:r>
        <w:t xml:space="preserve">l Studies invites registration </w:t>
      </w:r>
      <w:r>
        <w:t xml:space="preserve">to the international and </w:t>
      </w:r>
      <w:r>
        <w:t>interdisciplinary conference on</w:t>
      </w:r>
    </w:p>
    <w:p w:rsidR="001168E8" w:rsidRDefault="001168E8" w:rsidP="001168E8">
      <w:pPr>
        <w:pStyle w:val="Heading1"/>
      </w:pPr>
      <w:r>
        <w:t>Citation, Intertextuality and Memory in the Middle Ages: Text, Music, Image</w:t>
      </w:r>
    </w:p>
    <w:p w:rsidR="001168E8" w:rsidRDefault="001168E8" w:rsidP="001168E8">
      <w:r>
        <w:t>29–</w:t>
      </w:r>
      <w:r>
        <w:t>30 January 2009</w:t>
      </w:r>
    </w:p>
    <w:p w:rsidR="001168E8" w:rsidRDefault="001168E8" w:rsidP="001168E8">
      <w:r>
        <w:t>University of Exet</w:t>
      </w:r>
      <w:r>
        <w:t>er, Streatham Campus, Reed Hall</w:t>
      </w:r>
    </w:p>
    <w:p w:rsidR="001168E8" w:rsidRDefault="001168E8" w:rsidP="001168E8">
      <w:r>
        <w:t>Recent books on memory in the Middle Ages are stimulating the interest of scholars across a range of disciplines. The theme of citation and intertextuality continues to attract attention, especially that of literary studies but equally scholars from other disciplines concerned with the Middle Ages, including history, art history, religious studies, musicology. This conference's aim is to stimulate further scrutiny of these themes with papers exploring intertextual practices and manifestations of borrowings, modellings, allusions, and other evocations of pre-existing material, and on the overall role of memory in medieval culture.</w:t>
      </w:r>
    </w:p>
    <w:p w:rsidR="001168E8" w:rsidRDefault="001168E8" w:rsidP="001168E8">
      <w:r>
        <w:t>Travel information is available on the University of Exeter main website and lists of hotels in Exeter are available on the Exeter City Council website.</w:t>
      </w:r>
      <w:bookmarkStart w:id="0" w:name="_GoBack"/>
      <w:bookmarkEnd w:id="0"/>
    </w:p>
    <w:p w:rsidR="001168E8" w:rsidRDefault="001168E8" w:rsidP="001168E8">
      <w:pPr>
        <w:pStyle w:val="Heading2"/>
      </w:pPr>
      <w:r>
        <w:t>Programme</w:t>
      </w:r>
    </w:p>
    <w:p w:rsidR="001168E8" w:rsidRPr="001168E8" w:rsidRDefault="001168E8" w:rsidP="001168E8">
      <w:r w:rsidRPr="001168E8">
        <w:rPr>
          <w:b/>
          <w:bCs/>
        </w:rPr>
        <w:t>Thursday 29th</w:t>
      </w:r>
    </w:p>
    <w:tbl>
      <w:tblPr>
        <w:tblW w:w="4950" w:type="pct"/>
        <w:tblCellSpacing w:w="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760"/>
        <w:gridCol w:w="8265"/>
      </w:tblGrid>
      <w:tr w:rsidR="001168E8" w:rsidRPr="001168E8" w:rsidTr="001168E8">
        <w:trPr>
          <w:tblCellSpacing w:w="15" w:type="dxa"/>
        </w:trPr>
        <w:tc>
          <w:tcPr>
            <w:tcW w:w="0" w:type="auto"/>
            <w:gridSpan w:val="2"/>
            <w:shd w:val="clear" w:color="auto" w:fill="FFFFFF"/>
            <w:tcMar>
              <w:top w:w="15" w:type="dxa"/>
              <w:left w:w="15" w:type="dxa"/>
              <w:bottom w:w="150" w:type="dxa"/>
              <w:right w:w="15" w:type="dxa"/>
            </w:tcMar>
            <w:hideMark/>
          </w:tcPr>
          <w:p w:rsidR="001168E8" w:rsidRPr="001168E8" w:rsidRDefault="001168E8" w:rsidP="001168E8">
            <w:r w:rsidRPr="001168E8">
              <w:rPr>
                <w:i/>
                <w:iCs/>
              </w:rPr>
              <w:t>9:45 - 10:10     arrival / registration of delegates</w:t>
            </w:r>
          </w:p>
        </w:tc>
      </w:tr>
      <w:tr w:rsidR="001168E8" w:rsidRPr="001168E8" w:rsidTr="001168E8">
        <w:trPr>
          <w:tblCellSpacing w:w="15" w:type="dxa"/>
        </w:trPr>
        <w:tc>
          <w:tcPr>
            <w:tcW w:w="0" w:type="auto"/>
            <w:shd w:val="clear" w:color="auto" w:fill="FFFFFF"/>
            <w:tcMar>
              <w:top w:w="15" w:type="dxa"/>
              <w:left w:w="15" w:type="dxa"/>
              <w:bottom w:w="150" w:type="dxa"/>
              <w:right w:w="15" w:type="dxa"/>
            </w:tcMar>
            <w:hideMark/>
          </w:tcPr>
          <w:p w:rsidR="001168E8" w:rsidRPr="001168E8" w:rsidRDefault="001168E8" w:rsidP="001168E8">
            <w:r w:rsidRPr="001168E8">
              <w:t>10:15</w:t>
            </w:r>
          </w:p>
        </w:tc>
        <w:tc>
          <w:tcPr>
            <w:tcW w:w="0" w:type="auto"/>
            <w:shd w:val="clear" w:color="auto" w:fill="FFFFFF"/>
            <w:tcMar>
              <w:top w:w="15" w:type="dxa"/>
              <w:left w:w="15" w:type="dxa"/>
              <w:bottom w:w="150" w:type="dxa"/>
              <w:right w:w="15" w:type="dxa"/>
            </w:tcMar>
            <w:hideMark/>
          </w:tcPr>
          <w:p w:rsidR="001168E8" w:rsidRPr="001168E8" w:rsidRDefault="001168E8" w:rsidP="001168E8">
            <w:r w:rsidRPr="001168E8">
              <w:rPr>
                <w:b/>
                <w:bCs/>
              </w:rPr>
              <w:t>Welcoming address</w:t>
            </w:r>
            <w:r w:rsidRPr="001168E8">
              <w:br/>
              <w:t> </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1</w:t>
            </w:r>
            <w:r w:rsidRPr="001168E8">
              <w:t>     Chair: R. Barton Palmer (Clemson University) </w:t>
            </w:r>
          </w:p>
        </w:tc>
      </w:tr>
      <w:tr w:rsidR="001168E8" w:rsidRPr="001168E8" w:rsidTr="001168E8">
        <w:trPr>
          <w:tblCellSpacing w:w="15" w:type="dxa"/>
        </w:trPr>
        <w:tc>
          <w:tcPr>
            <w:tcW w:w="396" w:type="pct"/>
            <w:shd w:val="clear" w:color="auto" w:fill="FFFFFF"/>
            <w:tcMar>
              <w:top w:w="15" w:type="dxa"/>
              <w:left w:w="15" w:type="dxa"/>
              <w:bottom w:w="150" w:type="dxa"/>
              <w:right w:w="15" w:type="dxa"/>
            </w:tcMar>
            <w:hideMark/>
          </w:tcPr>
          <w:p w:rsidR="001168E8" w:rsidRPr="001168E8" w:rsidRDefault="001168E8" w:rsidP="001168E8">
            <w:r w:rsidRPr="001168E8">
              <w:t>10:20</w:t>
            </w:r>
          </w:p>
        </w:tc>
        <w:tc>
          <w:tcPr>
            <w:tcW w:w="4554" w:type="pct"/>
            <w:shd w:val="clear" w:color="auto" w:fill="FFFFFF"/>
            <w:tcMar>
              <w:top w:w="15" w:type="dxa"/>
              <w:left w:w="15" w:type="dxa"/>
              <w:bottom w:w="150" w:type="dxa"/>
              <w:right w:w="15" w:type="dxa"/>
            </w:tcMar>
            <w:hideMark/>
          </w:tcPr>
          <w:p w:rsidR="001168E8" w:rsidRPr="001168E8" w:rsidRDefault="001168E8" w:rsidP="007545E2">
            <w:r w:rsidRPr="001168E8">
              <w:rPr>
                <w:b/>
                <w:bCs/>
              </w:rPr>
              <w:t>Wim Verbaal</w:t>
            </w:r>
            <w:r w:rsidRPr="001168E8">
              <w:t> (Ghent University)</w:t>
            </w:r>
            <w:r w:rsidRPr="001168E8">
              <w:br/>
              <w:t>Towards a hermeneutics of remembrance: intertextual poetics</w:t>
            </w:r>
            <w:r w:rsidR="007545E2">
              <w:t xml:space="preserve"> in twelfth-century literature</w:t>
            </w:r>
          </w:p>
        </w:tc>
      </w:tr>
      <w:tr w:rsidR="001168E8" w:rsidRPr="001168E8" w:rsidTr="001168E8">
        <w:trPr>
          <w:trHeight w:val="709"/>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10:50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Sarah Kay</w:t>
            </w:r>
            <w:r w:rsidRPr="001168E8">
              <w:t> (Princeton University)</w:t>
            </w:r>
            <w:r w:rsidRPr="001168E8">
              <w:br/>
              <w:t>What is a quotation in the </w:t>
            </w:r>
            <w:r w:rsidRPr="001168E8">
              <w:rPr>
                <w:i/>
                <w:iCs/>
              </w:rPr>
              <w:t>Leys d’amors</w:t>
            </w:r>
            <w:r w:rsidR="007545E2">
              <w:t>?</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rPr>
                <w:i/>
                <w:iCs/>
              </w:rPr>
              <w:t>break</w:t>
            </w:r>
          </w:p>
        </w:tc>
        <w:tc>
          <w:tcPr>
            <w:tcW w:w="0" w:type="auto"/>
            <w:shd w:val="clear" w:color="auto" w:fill="FFFFFF"/>
            <w:tcMar>
              <w:top w:w="80" w:type="dxa"/>
              <w:left w:w="15" w:type="dxa"/>
              <w:bottom w:w="15" w:type="dxa"/>
              <w:right w:w="15" w:type="dxa"/>
            </w:tcMar>
            <w:hideMark/>
          </w:tcPr>
          <w:p w:rsidR="001168E8" w:rsidRPr="001168E8" w:rsidRDefault="001168E8" w:rsidP="001168E8">
            <w:r w:rsidRPr="001168E8">
              <w:t> </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2</w:t>
            </w:r>
            <w:r w:rsidRPr="001168E8">
              <w:t>     Chair: Julia Crick (University of Exeter)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11:50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Sjoerd Levelt</w:t>
            </w:r>
            <w:r w:rsidRPr="001168E8">
              <w:t> (Warburg Institute, London)</w:t>
            </w:r>
            <w:r w:rsidRPr="001168E8">
              <w:br/>
              <w:t>Citation and misappropriation in Geoffrey of Monmouth's </w:t>
            </w:r>
            <w:r w:rsidRPr="001168E8">
              <w:rPr>
                <w:i/>
                <w:iCs/>
              </w:rPr>
              <w:t>Historia regum Britannie</w:t>
            </w:r>
            <w:r w:rsidRPr="001168E8">
              <w:t> and</w:t>
            </w:r>
            <w:r w:rsidR="007545E2">
              <w:t xml:space="preserve"> the Latin Galfridian tradition</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lastRenderedPageBreak/>
              <w:t>12:20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Jenny Benham</w:t>
            </w:r>
            <w:r w:rsidRPr="001168E8">
              <w:t> (Institute for Historical Research, London)</w:t>
            </w:r>
            <w:r w:rsidRPr="001168E8">
              <w:br/>
              <w:t>Constr</w:t>
            </w:r>
            <w:r w:rsidR="007545E2">
              <w:t>ucting memories of peacemaking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rPr>
                <w:i/>
                <w:iCs/>
              </w:rPr>
              <w:t>lunch</w:t>
            </w:r>
          </w:p>
        </w:tc>
        <w:tc>
          <w:tcPr>
            <w:tcW w:w="0" w:type="auto"/>
            <w:shd w:val="clear" w:color="auto" w:fill="FFFFFF"/>
            <w:tcMar>
              <w:top w:w="80" w:type="dxa"/>
              <w:left w:w="15" w:type="dxa"/>
              <w:bottom w:w="15" w:type="dxa"/>
              <w:right w:w="15" w:type="dxa"/>
            </w:tcMar>
            <w:hideMark/>
          </w:tcPr>
          <w:p w:rsidR="001168E8" w:rsidRPr="001168E8" w:rsidRDefault="001168E8" w:rsidP="001168E8">
            <w:r w:rsidRPr="001168E8">
              <w:t> </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Keynote paper</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14:45</w:t>
            </w:r>
          </w:p>
        </w:tc>
        <w:tc>
          <w:tcPr>
            <w:tcW w:w="0" w:type="auto"/>
            <w:shd w:val="clear" w:color="auto" w:fill="FFFFFF"/>
            <w:tcMar>
              <w:top w:w="80" w:type="dxa"/>
              <w:left w:w="15" w:type="dxa"/>
              <w:bottom w:w="15" w:type="dxa"/>
              <w:right w:w="15" w:type="dxa"/>
            </w:tcMar>
            <w:hideMark/>
          </w:tcPr>
          <w:p w:rsidR="001168E8" w:rsidRPr="001168E8" w:rsidRDefault="001168E8" w:rsidP="001168E8">
            <w:r w:rsidRPr="001168E8">
              <w:rPr>
                <w:b/>
                <w:bCs/>
              </w:rPr>
              <w:t>Anna Maria Busse Berger</w:t>
            </w:r>
            <w:r w:rsidRPr="001168E8">
              <w:t> (University of California, Davi</w:t>
            </w:r>
            <w:r>
              <w:t>s)</w:t>
            </w:r>
            <w:r>
              <w:br/>
              <w:t>Quotation in medieval Music</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3</w:t>
            </w:r>
            <w:r w:rsidRPr="001168E8">
              <w:t>     Chair: Ardis Butterfield (University College, London)</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15:50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Eliza Zingesser</w:t>
            </w:r>
            <w:r w:rsidRPr="001168E8">
              <w:t> (Princeton University)</w:t>
            </w:r>
            <w:r w:rsidRPr="001168E8">
              <w:br/>
              <w:t>Genealogies of song: vernacularity in Dante’s </w:t>
            </w:r>
            <w:r w:rsidRPr="001168E8">
              <w:rPr>
                <w:i/>
                <w:iCs/>
              </w:rPr>
              <w:t>De vulgari eloquentia</w:t>
            </w:r>
            <w:r w:rsidRPr="001168E8">
              <w:t>, and Nicole de Margival’s </w:t>
            </w:r>
            <w:r w:rsidRPr="001168E8">
              <w:rPr>
                <w:i/>
                <w:iCs/>
              </w:rPr>
              <w:t>Dit de la panthere</w:t>
            </w:r>
            <w:r w:rsidR="007545E2">
              <w:t>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tc>
        <w:tc>
          <w:tcPr>
            <w:tcW w:w="0" w:type="auto"/>
            <w:shd w:val="clear" w:color="auto" w:fill="FFFFFF"/>
            <w:tcMar>
              <w:top w:w="80" w:type="dxa"/>
              <w:left w:w="15" w:type="dxa"/>
              <w:bottom w:w="15" w:type="dxa"/>
              <w:right w:w="15" w:type="dxa"/>
            </w:tcMar>
            <w:hideMark/>
          </w:tcPr>
          <w:p w:rsidR="001168E8" w:rsidRPr="001168E8" w:rsidRDefault="001168E8" w:rsidP="001168E8"/>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16:20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Jennifer Saltzstein</w:t>
            </w:r>
            <w:r w:rsidRPr="001168E8">
              <w:t> (University of Oklahoma) </w:t>
            </w:r>
            <w:r w:rsidRPr="001168E8">
              <w:br/>
              <w:t>Refrain citation and vernacular authority in</w:t>
            </w:r>
            <w:r w:rsidR="007545E2">
              <w:t xml:space="preserve"> the music of Adam de la Halle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br/>
            </w:r>
            <w:r w:rsidRPr="001168E8">
              <w:rPr>
                <w:i/>
                <w:iCs/>
              </w:rPr>
              <w:t>break</w:t>
            </w:r>
          </w:p>
        </w:tc>
        <w:tc>
          <w:tcPr>
            <w:tcW w:w="0" w:type="auto"/>
            <w:shd w:val="clear" w:color="auto" w:fill="FFFFFF"/>
            <w:tcMar>
              <w:top w:w="80" w:type="dxa"/>
              <w:left w:w="15" w:type="dxa"/>
              <w:bottom w:w="15" w:type="dxa"/>
              <w:right w:w="15" w:type="dxa"/>
            </w:tcMar>
            <w:hideMark/>
          </w:tcPr>
          <w:p w:rsidR="001168E8" w:rsidRPr="001168E8" w:rsidRDefault="001168E8" w:rsidP="001168E8"/>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4</w:t>
            </w:r>
            <w:r w:rsidRPr="001168E8">
              <w:t>     Chair: Yolanda Plumley (University of Exeter)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17:20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Jacques Boogaart</w:t>
            </w:r>
            <w:r w:rsidRPr="001168E8">
              <w:t> (University of Amsterdam)</w:t>
            </w:r>
            <w:r w:rsidRPr="001168E8">
              <w:br/>
              <w:t>Citation and transformation in Machaut’s musical works: the follies o</w:t>
            </w:r>
            <w:r w:rsidR="007545E2">
              <w:t>f the sighing lover in Motet 2</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17:50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Benjamin Albritton</w:t>
            </w:r>
            <w:r w:rsidRPr="001168E8">
              <w:t> (University of Washington, - Corpus Christi College, Cambridge)</w:t>
            </w:r>
            <w:r w:rsidRPr="001168E8">
              <w:br/>
              <w:t>Translation and parody: responses to Machaut's </w:t>
            </w:r>
            <w:r w:rsidRPr="001168E8">
              <w:rPr>
                <w:i/>
                <w:iCs/>
              </w:rPr>
              <w:t>Lay de confort</w:t>
            </w:r>
            <w:r w:rsidR="007545E2">
              <w:t> </w:t>
            </w:r>
          </w:p>
        </w:tc>
      </w:tr>
    </w:tbl>
    <w:p w:rsidR="001168E8" w:rsidRPr="001168E8" w:rsidRDefault="001168E8" w:rsidP="001168E8">
      <w:pPr>
        <w:rPr>
          <w:vanish/>
        </w:rPr>
      </w:pPr>
    </w:p>
    <w:tbl>
      <w:tblPr>
        <w:tblW w:w="4950" w:type="pct"/>
        <w:tblCellSpacing w:w="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9025"/>
      </w:tblGrid>
      <w:tr w:rsidR="001168E8" w:rsidRPr="001168E8" w:rsidTr="001168E8">
        <w:trPr>
          <w:tblCellSpacing w:w="15" w:type="dxa"/>
        </w:trPr>
        <w:tc>
          <w:tcPr>
            <w:tcW w:w="0" w:type="auto"/>
            <w:shd w:val="clear" w:color="auto" w:fill="FFFFFF"/>
            <w:tcMar>
              <w:top w:w="240" w:type="dxa"/>
              <w:left w:w="15" w:type="dxa"/>
              <w:bottom w:w="15" w:type="dxa"/>
              <w:right w:w="15" w:type="dxa"/>
            </w:tcMar>
            <w:hideMark/>
          </w:tcPr>
          <w:p w:rsidR="001168E8" w:rsidRPr="001168E8" w:rsidRDefault="001168E8" w:rsidP="001168E8">
            <w:r w:rsidRPr="001168E8">
              <w:t> </w:t>
            </w:r>
            <w:r w:rsidRPr="001168E8">
              <w:br/>
            </w:r>
            <w:r w:rsidRPr="001168E8">
              <w:rPr>
                <w:i/>
                <w:iCs/>
              </w:rPr>
              <w:t>18:30    </w:t>
            </w:r>
            <w:r w:rsidRPr="001168E8">
              <w:rPr>
                <w:b/>
                <w:bCs/>
                <w:i/>
                <w:iCs/>
              </w:rPr>
              <w:t>Citation, Intertextuality and Memory - An Illustrative Concert</w:t>
            </w:r>
            <w:r w:rsidRPr="001168E8">
              <w:rPr>
                <w:i/>
                <w:iCs/>
              </w:rPr>
              <w:t> </w:t>
            </w:r>
            <w:r>
              <w:rPr>
                <w:i/>
                <w:iCs/>
              </w:rPr>
              <w:t> </w:t>
            </w:r>
            <w:r w:rsidRPr="001168E8">
              <w:rPr>
                <w:i/>
                <w:iCs/>
              </w:rPr>
              <w:t>by the Ensemble </w:t>
            </w:r>
            <w:r w:rsidRPr="001168E8">
              <w:rPr>
                <w:b/>
                <w:bCs/>
                <w:i/>
                <w:iCs/>
              </w:rPr>
              <w:t>Le Basile</w:t>
            </w:r>
            <w:r w:rsidRPr="001168E8">
              <w:rPr>
                <w:i/>
                <w:iCs/>
              </w:rPr>
              <w:t> </w:t>
            </w:r>
            <w:r w:rsidRPr="001168E8">
              <w:br/>
            </w:r>
            <w:r w:rsidRPr="001168E8">
              <w:rPr>
                <w:i/>
                <w:iCs/>
              </w:rPr>
              <w:t>followed by a buffet</w:t>
            </w:r>
          </w:p>
        </w:tc>
      </w:tr>
    </w:tbl>
    <w:p w:rsidR="001168E8" w:rsidRPr="001168E8" w:rsidRDefault="001168E8" w:rsidP="001168E8">
      <w:r w:rsidRPr="001168E8">
        <w:rPr>
          <w:b/>
          <w:bCs/>
        </w:rPr>
        <w:t>Friday 30th</w:t>
      </w:r>
    </w:p>
    <w:tbl>
      <w:tblPr>
        <w:tblW w:w="4950" w:type="pct"/>
        <w:tblCellSpacing w:w="15"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760"/>
        <w:gridCol w:w="8265"/>
      </w:tblGrid>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t> </w:t>
            </w:r>
            <w:r w:rsidRPr="001168E8">
              <w:rPr>
                <w:b/>
                <w:bCs/>
              </w:rPr>
              <w:t>Keynote paper</w:t>
            </w:r>
            <w:r w:rsidRPr="001168E8">
              <w:br/>
              <w:t> </w:t>
            </w:r>
          </w:p>
        </w:tc>
      </w:tr>
      <w:tr w:rsidR="001168E8" w:rsidRPr="001168E8" w:rsidTr="001168E8">
        <w:trPr>
          <w:trHeight w:val="756"/>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lastRenderedPageBreak/>
              <w:t>9:15</w:t>
            </w:r>
          </w:p>
        </w:tc>
        <w:tc>
          <w:tcPr>
            <w:tcW w:w="0" w:type="auto"/>
            <w:shd w:val="clear" w:color="auto" w:fill="FFFFFF"/>
            <w:tcMar>
              <w:top w:w="80" w:type="dxa"/>
              <w:left w:w="15" w:type="dxa"/>
              <w:bottom w:w="15" w:type="dxa"/>
              <w:right w:w="15" w:type="dxa"/>
            </w:tcMar>
            <w:hideMark/>
          </w:tcPr>
          <w:p w:rsidR="001168E8" w:rsidRPr="001168E8" w:rsidRDefault="001168E8" w:rsidP="001168E8">
            <w:r w:rsidRPr="001168E8">
              <w:rPr>
                <w:b/>
                <w:bCs/>
              </w:rPr>
              <w:t>Lina Bolzoni</w:t>
            </w:r>
            <w:r w:rsidRPr="001168E8">
              <w:t> (Scuola Normale Superiore, Pisa)</w:t>
            </w:r>
            <w:r w:rsidRPr="001168E8">
              <w:br/>
              <w:t>The impassioned memory in Dante's </w:t>
            </w:r>
            <w:r>
              <w:rPr>
                <w:i/>
                <w:iCs/>
              </w:rPr>
              <w:t>Commedia</w:t>
            </w:r>
            <w:r w:rsidRPr="001168E8">
              <w:br/>
              <w:t> </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5</w:t>
            </w:r>
            <w:r w:rsidRPr="001168E8">
              <w:t>     Chair: Sarah Kay (Princeton University) </w:t>
            </w:r>
          </w:p>
        </w:tc>
      </w:tr>
      <w:tr w:rsidR="001168E8" w:rsidRPr="001168E8" w:rsidTr="001168E8">
        <w:trPr>
          <w:tblCellSpacing w:w="15" w:type="dxa"/>
        </w:trPr>
        <w:tc>
          <w:tcPr>
            <w:tcW w:w="396" w:type="pct"/>
            <w:shd w:val="clear" w:color="auto" w:fill="FFFFFF"/>
            <w:hideMark/>
          </w:tcPr>
          <w:p w:rsidR="001168E8" w:rsidRPr="001168E8" w:rsidRDefault="001168E8" w:rsidP="001168E8">
            <w:r w:rsidRPr="001168E8">
              <w:t>10:15</w:t>
            </w:r>
          </w:p>
        </w:tc>
        <w:tc>
          <w:tcPr>
            <w:tcW w:w="4554" w:type="pct"/>
            <w:shd w:val="clear" w:color="auto" w:fill="FFFFFF"/>
            <w:hideMark/>
          </w:tcPr>
          <w:p w:rsidR="001168E8" w:rsidRPr="001168E8" w:rsidRDefault="001168E8" w:rsidP="007545E2">
            <w:r w:rsidRPr="001168E8">
              <w:rPr>
                <w:b/>
                <w:bCs/>
              </w:rPr>
              <w:t>R. Barton Palmer</w:t>
            </w:r>
            <w:r w:rsidRPr="001168E8">
              <w:t> (Clemson University)</w:t>
            </w:r>
            <w:r w:rsidRPr="001168E8">
              <w:br/>
              <w:t>The rhetoric of allusion in Machaut's </w:t>
            </w:r>
            <w:r w:rsidRPr="001168E8">
              <w:rPr>
                <w:i/>
                <w:iCs/>
              </w:rPr>
              <w:t>Fonteinne amoureuse</w:t>
            </w:r>
            <w:r w:rsidRPr="001168E8">
              <w:t>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10:45</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Emma Cayley </w:t>
            </w:r>
            <w:r w:rsidRPr="001168E8">
              <w:t>(University of Exeter)</w:t>
            </w:r>
            <w:r w:rsidRPr="001168E8">
              <w:br/>
              <w:t>Citation as transvestism in fifteenth-century French poetry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rPr>
                <w:i/>
                <w:iCs/>
              </w:rPr>
              <w:t>break</w:t>
            </w:r>
          </w:p>
        </w:tc>
        <w:tc>
          <w:tcPr>
            <w:tcW w:w="0" w:type="auto"/>
            <w:shd w:val="clear" w:color="auto" w:fill="FFFFFF"/>
            <w:tcMar>
              <w:top w:w="80" w:type="dxa"/>
              <w:left w:w="15" w:type="dxa"/>
              <w:bottom w:w="15" w:type="dxa"/>
              <w:right w:w="15" w:type="dxa"/>
            </w:tcMar>
            <w:hideMark/>
          </w:tcPr>
          <w:p w:rsidR="001168E8" w:rsidRPr="001168E8" w:rsidRDefault="001168E8" w:rsidP="001168E8">
            <w:r w:rsidRPr="001168E8">
              <w:t> </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6</w:t>
            </w:r>
            <w:r w:rsidRPr="001168E8">
              <w:t>     Chair: Sarah Hamilton (University of Exeter)</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11:45</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Eyal Poleg</w:t>
            </w:r>
            <w:r w:rsidRPr="001168E8">
              <w:t> (University of Edinburgh)</w:t>
            </w:r>
            <w:r w:rsidRPr="001168E8">
              <w:br/>
              <w:t>Biblical fabric or quasi-biblical language: modes of citation in preaching and liturgy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12:15</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Helen Deeming</w:t>
            </w:r>
            <w:r w:rsidRPr="001168E8">
              <w:t> (University of Southampton)</w:t>
            </w:r>
            <w:r w:rsidRPr="001168E8">
              <w:br/>
              <w:t>Music, memory and mobility: citation and contrafactum in thirteenth-century sequence repertories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 </w:t>
            </w:r>
            <w:r w:rsidRPr="001168E8">
              <w:rPr>
                <w:i/>
                <w:iCs/>
              </w:rPr>
              <w:t>lunch</w:t>
            </w:r>
          </w:p>
        </w:tc>
        <w:tc>
          <w:tcPr>
            <w:tcW w:w="0" w:type="auto"/>
            <w:shd w:val="clear" w:color="auto" w:fill="FFFFFF"/>
            <w:tcMar>
              <w:top w:w="80" w:type="dxa"/>
              <w:left w:w="15" w:type="dxa"/>
              <w:bottom w:w="15" w:type="dxa"/>
              <w:right w:w="15" w:type="dxa"/>
            </w:tcMar>
            <w:hideMark/>
          </w:tcPr>
          <w:p w:rsidR="001168E8" w:rsidRPr="001168E8" w:rsidRDefault="001168E8" w:rsidP="001168E8">
            <w:r w:rsidRPr="001168E8">
              <w:t> </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7</w:t>
            </w:r>
            <w:r w:rsidRPr="001168E8">
              <w:t>     Chair: Giuliano Di Bacco </w:t>
            </w:r>
            <w:r>
              <w:t>(University of Exeter)</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14:15</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Anthony Musson </w:t>
            </w:r>
            <w:r w:rsidRPr="001168E8">
              <w:t>(University of Exeter)</w:t>
            </w:r>
            <w:r w:rsidRPr="001168E8">
              <w:br/>
              <w:t>The power of image: allusion and intertextuality</w:t>
            </w:r>
            <w:r w:rsidR="007545E2">
              <w:t xml:space="preserve"> in medieval English law books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14:45</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Sonja Drimmer</w:t>
            </w:r>
            <w:r w:rsidRPr="001168E8">
              <w:t> (Columbia University)</w:t>
            </w:r>
            <w:r w:rsidRPr="001168E8">
              <w:br/>
              <w:t>Allusive images: intervisuality in late Middle English manuscripts? </w:t>
            </w:r>
          </w:p>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t>SESSION  8</w:t>
            </w:r>
            <w:r w:rsidRPr="001168E8">
              <w:t>     Chair: Anthony Musson (University of Exeter)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15:20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Marguerite Keane</w:t>
            </w:r>
            <w:r w:rsidRPr="001168E8">
              <w:t> (Drew University, Madison)</w:t>
            </w:r>
            <w:r w:rsidRPr="001168E8">
              <w:br/>
              <w:t>Memory and royal identity in the chapel of Bla</w:t>
            </w:r>
            <w:r w:rsidR="007545E2">
              <w:t>nche of Navarre at Saint-Denis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15:50</w:t>
            </w:r>
          </w:p>
        </w:tc>
        <w:tc>
          <w:tcPr>
            <w:tcW w:w="0" w:type="auto"/>
            <w:shd w:val="clear" w:color="auto" w:fill="FFFFFF"/>
            <w:tcMar>
              <w:top w:w="80" w:type="dxa"/>
              <w:left w:w="15" w:type="dxa"/>
              <w:bottom w:w="15" w:type="dxa"/>
              <w:right w:w="15" w:type="dxa"/>
            </w:tcMar>
            <w:hideMark/>
          </w:tcPr>
          <w:p w:rsidR="001168E8" w:rsidRPr="001168E8" w:rsidRDefault="001168E8" w:rsidP="007545E2">
            <w:r w:rsidRPr="001168E8">
              <w:rPr>
                <w:b/>
                <w:bCs/>
              </w:rPr>
              <w:t>Naomi Howell</w:t>
            </w:r>
            <w:r w:rsidRPr="001168E8">
              <w:t> (University of Exeter)</w:t>
            </w:r>
            <w:r w:rsidRPr="001168E8">
              <w:br/>
              <w:t>Sensory sepulchres: citations of Christ's t</w:t>
            </w:r>
            <w:r w:rsidR="007545E2">
              <w:t>omb in twelfth-century romance </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 </w:t>
            </w:r>
            <w:r w:rsidRPr="001168E8">
              <w:br/>
            </w:r>
            <w:r w:rsidRPr="001168E8">
              <w:rPr>
                <w:i/>
                <w:iCs/>
              </w:rPr>
              <w:lastRenderedPageBreak/>
              <w:t>break</w:t>
            </w:r>
          </w:p>
        </w:tc>
        <w:tc>
          <w:tcPr>
            <w:tcW w:w="0" w:type="auto"/>
            <w:shd w:val="clear" w:color="auto" w:fill="FFFFFF"/>
            <w:tcMar>
              <w:top w:w="80" w:type="dxa"/>
              <w:left w:w="15" w:type="dxa"/>
              <w:bottom w:w="15" w:type="dxa"/>
              <w:right w:w="15" w:type="dxa"/>
            </w:tcMar>
            <w:hideMark/>
          </w:tcPr>
          <w:p w:rsidR="001168E8" w:rsidRPr="001168E8" w:rsidRDefault="001168E8" w:rsidP="001168E8"/>
        </w:tc>
      </w:tr>
      <w:tr w:rsidR="001168E8" w:rsidRPr="001168E8" w:rsidTr="001168E8">
        <w:trPr>
          <w:tblCellSpacing w:w="15" w:type="dxa"/>
        </w:trPr>
        <w:tc>
          <w:tcPr>
            <w:tcW w:w="0" w:type="auto"/>
            <w:gridSpan w:val="2"/>
            <w:tcBorders>
              <w:top w:val="dotted" w:sz="6" w:space="0" w:color="999999"/>
            </w:tcBorders>
            <w:shd w:val="clear" w:color="auto" w:fill="FFFFFF"/>
            <w:tcMar>
              <w:top w:w="15" w:type="dxa"/>
              <w:left w:w="15" w:type="dxa"/>
              <w:bottom w:w="150" w:type="dxa"/>
              <w:right w:w="15" w:type="dxa"/>
            </w:tcMar>
            <w:hideMark/>
          </w:tcPr>
          <w:p w:rsidR="001168E8" w:rsidRPr="001168E8" w:rsidRDefault="001168E8" w:rsidP="001168E8">
            <w:r w:rsidRPr="001168E8">
              <w:rPr>
                <w:b/>
                <w:bCs/>
              </w:rPr>
              <w:lastRenderedPageBreak/>
              <w:t>Conclusions</w:t>
            </w:r>
          </w:p>
        </w:tc>
      </w:tr>
      <w:tr w:rsidR="001168E8" w:rsidRPr="001168E8" w:rsidTr="001168E8">
        <w:trPr>
          <w:tblCellSpacing w:w="15" w:type="dxa"/>
        </w:trPr>
        <w:tc>
          <w:tcPr>
            <w:tcW w:w="0" w:type="auto"/>
            <w:shd w:val="clear" w:color="auto" w:fill="FFFFFF"/>
            <w:tcMar>
              <w:top w:w="80" w:type="dxa"/>
              <w:left w:w="15" w:type="dxa"/>
              <w:bottom w:w="15" w:type="dxa"/>
              <w:right w:w="15" w:type="dxa"/>
            </w:tcMar>
            <w:hideMark/>
          </w:tcPr>
          <w:p w:rsidR="001168E8" w:rsidRPr="001168E8" w:rsidRDefault="001168E8" w:rsidP="001168E8">
            <w:r w:rsidRPr="001168E8">
              <w:t>16:45</w:t>
            </w:r>
          </w:p>
        </w:tc>
        <w:tc>
          <w:tcPr>
            <w:tcW w:w="0" w:type="auto"/>
            <w:shd w:val="clear" w:color="auto" w:fill="FFFFFF"/>
            <w:tcMar>
              <w:top w:w="80" w:type="dxa"/>
              <w:left w:w="15" w:type="dxa"/>
              <w:bottom w:w="15" w:type="dxa"/>
              <w:right w:w="15" w:type="dxa"/>
            </w:tcMar>
            <w:hideMark/>
          </w:tcPr>
          <w:p w:rsidR="001168E8" w:rsidRDefault="001168E8" w:rsidP="001168E8">
            <w:pPr>
              <w:rPr>
                <w:i/>
                <w:iCs/>
              </w:rPr>
            </w:pPr>
            <w:r w:rsidRPr="001168E8">
              <w:rPr>
                <w:b/>
                <w:bCs/>
              </w:rPr>
              <w:t>Ardis Butterfield</w:t>
            </w:r>
            <w:r w:rsidRPr="001168E8">
              <w:t> (University College, London)</w:t>
            </w:r>
            <w:r w:rsidRPr="001168E8">
              <w:br/>
            </w:r>
            <w:r w:rsidRPr="001168E8">
              <w:rPr>
                <w:i/>
                <w:iCs/>
              </w:rPr>
              <w:t>Conference respondent</w:t>
            </w:r>
          </w:p>
          <w:p w:rsidR="001168E8" w:rsidRPr="001168E8" w:rsidRDefault="001168E8" w:rsidP="001168E8">
            <w:r>
              <w:rPr>
                <w:i/>
                <w:iCs/>
              </w:rPr>
              <w:t>followed by discussion</w:t>
            </w:r>
          </w:p>
        </w:tc>
      </w:tr>
    </w:tbl>
    <w:p w:rsidR="001168E8" w:rsidRDefault="001168E8" w:rsidP="001168E8"/>
    <w:sectPr w:rsidR="001168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8E8"/>
    <w:rsid w:val="001168E8"/>
    <w:rsid w:val="00403992"/>
    <w:rsid w:val="004168C0"/>
    <w:rsid w:val="005A474B"/>
    <w:rsid w:val="007545E2"/>
    <w:rsid w:val="00785788"/>
    <w:rsid w:val="00D47A61"/>
    <w:rsid w:val="00D74CCE"/>
    <w:rsid w:val="00DF0FE8"/>
    <w:rsid w:val="00F84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28"/>
  </w:style>
  <w:style w:type="paragraph" w:styleId="Heading1">
    <w:name w:val="heading 1"/>
    <w:basedOn w:val="Normal"/>
    <w:next w:val="Normal"/>
    <w:link w:val="Heading1Char"/>
    <w:uiPriority w:val="9"/>
    <w:qFormat/>
    <w:rsid w:val="00116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16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par">
    <w:name w:val="Calibri par"/>
    <w:basedOn w:val="Normal"/>
    <w:link w:val="CalibriparChar"/>
    <w:qFormat/>
    <w:rsid w:val="00F84728"/>
  </w:style>
  <w:style w:type="character" w:customStyle="1" w:styleId="CalibriparChar">
    <w:name w:val="Calibri par Char"/>
    <w:basedOn w:val="DefaultParagraphFont"/>
    <w:link w:val="Calibripar"/>
    <w:rsid w:val="00F84728"/>
  </w:style>
  <w:style w:type="paragraph" w:styleId="Title">
    <w:name w:val="Title"/>
    <w:basedOn w:val="Normal"/>
    <w:next w:val="Normal"/>
    <w:link w:val="TitleChar"/>
    <w:uiPriority w:val="10"/>
    <w:qFormat/>
    <w:rsid w:val="00F847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4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47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84728"/>
    <w:rPr>
      <w:color w:val="0000FF"/>
      <w:u w:val="single"/>
    </w:rPr>
  </w:style>
  <w:style w:type="character" w:styleId="Emphasis">
    <w:name w:val="Emphasis"/>
    <w:basedOn w:val="DefaultParagraphFont"/>
    <w:uiPriority w:val="20"/>
    <w:qFormat/>
    <w:rsid w:val="00F84728"/>
    <w:rPr>
      <w:i/>
      <w:iCs/>
    </w:rPr>
  </w:style>
  <w:style w:type="paragraph" w:styleId="ListParagraph">
    <w:name w:val="List Paragraph"/>
    <w:basedOn w:val="Normal"/>
    <w:uiPriority w:val="34"/>
    <w:qFormat/>
    <w:rsid w:val="00F84728"/>
    <w:pPr>
      <w:ind w:left="720"/>
      <w:contextualSpacing/>
    </w:pPr>
  </w:style>
  <w:style w:type="paragraph" w:styleId="Quote">
    <w:name w:val="Quote"/>
    <w:basedOn w:val="Normal"/>
    <w:next w:val="Normal"/>
    <w:link w:val="QuoteChar"/>
    <w:uiPriority w:val="29"/>
    <w:qFormat/>
    <w:rsid w:val="00F84728"/>
    <w:rPr>
      <w:i/>
      <w:iCs/>
      <w:color w:val="000000" w:themeColor="text1"/>
    </w:rPr>
  </w:style>
  <w:style w:type="character" w:customStyle="1" w:styleId="QuoteChar">
    <w:name w:val="Quote Char"/>
    <w:basedOn w:val="DefaultParagraphFont"/>
    <w:link w:val="Quote"/>
    <w:uiPriority w:val="29"/>
    <w:rsid w:val="00F84728"/>
    <w:rPr>
      <w:i/>
      <w:iCs/>
      <w:color w:val="000000" w:themeColor="text1"/>
    </w:rPr>
  </w:style>
  <w:style w:type="paragraph" w:styleId="IntenseQuote">
    <w:name w:val="Intense Quote"/>
    <w:basedOn w:val="Normal"/>
    <w:next w:val="Normal"/>
    <w:link w:val="IntenseQuoteChar"/>
    <w:uiPriority w:val="30"/>
    <w:qFormat/>
    <w:rsid w:val="00F847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4728"/>
    <w:rPr>
      <w:b/>
      <w:bCs/>
      <w:i/>
      <w:iCs/>
      <w:color w:val="4F81BD" w:themeColor="accent1"/>
    </w:rPr>
  </w:style>
  <w:style w:type="character" w:styleId="SubtleEmphasis">
    <w:name w:val="Subtle Emphasis"/>
    <w:basedOn w:val="DefaultParagraphFont"/>
    <w:uiPriority w:val="19"/>
    <w:qFormat/>
    <w:rsid w:val="00F84728"/>
    <w:rPr>
      <w:i/>
      <w:iCs/>
      <w:color w:val="808080" w:themeColor="text1" w:themeTint="7F"/>
    </w:rPr>
  </w:style>
  <w:style w:type="character" w:styleId="IntenseEmphasis">
    <w:name w:val="Intense Emphasis"/>
    <w:basedOn w:val="DefaultParagraphFont"/>
    <w:uiPriority w:val="21"/>
    <w:qFormat/>
    <w:rsid w:val="00F84728"/>
    <w:rPr>
      <w:b/>
      <w:bCs/>
      <w:i/>
      <w:iCs/>
      <w:color w:val="4F81BD" w:themeColor="accent1"/>
    </w:rPr>
  </w:style>
  <w:style w:type="character" w:styleId="IntenseReference">
    <w:name w:val="Intense Reference"/>
    <w:basedOn w:val="DefaultParagraphFont"/>
    <w:uiPriority w:val="32"/>
    <w:qFormat/>
    <w:rsid w:val="00F84728"/>
    <w:rPr>
      <w:b/>
      <w:bCs/>
      <w:smallCaps/>
      <w:color w:val="C0504D" w:themeColor="accent2"/>
      <w:spacing w:val="5"/>
      <w:u w:val="single"/>
    </w:rPr>
  </w:style>
  <w:style w:type="character" w:styleId="BookTitle">
    <w:name w:val="Book Title"/>
    <w:basedOn w:val="DefaultParagraphFont"/>
    <w:uiPriority w:val="33"/>
    <w:qFormat/>
    <w:rsid w:val="00F84728"/>
    <w:rPr>
      <w:b/>
      <w:bCs/>
      <w:smallCaps/>
      <w:spacing w:val="5"/>
    </w:rPr>
  </w:style>
  <w:style w:type="character" w:customStyle="1" w:styleId="Heading1Char">
    <w:name w:val="Heading 1 Char"/>
    <w:basedOn w:val="DefaultParagraphFont"/>
    <w:link w:val="Heading1"/>
    <w:uiPriority w:val="9"/>
    <w:rsid w:val="00116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8E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168E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728"/>
  </w:style>
  <w:style w:type="paragraph" w:styleId="Heading1">
    <w:name w:val="heading 1"/>
    <w:basedOn w:val="Normal"/>
    <w:next w:val="Normal"/>
    <w:link w:val="Heading1Char"/>
    <w:uiPriority w:val="9"/>
    <w:qFormat/>
    <w:rsid w:val="001168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68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168E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ibripar">
    <w:name w:val="Calibri par"/>
    <w:basedOn w:val="Normal"/>
    <w:link w:val="CalibriparChar"/>
    <w:qFormat/>
    <w:rsid w:val="00F84728"/>
  </w:style>
  <w:style w:type="character" w:customStyle="1" w:styleId="CalibriparChar">
    <w:name w:val="Calibri par Char"/>
    <w:basedOn w:val="DefaultParagraphFont"/>
    <w:link w:val="Calibripar"/>
    <w:rsid w:val="00F84728"/>
  </w:style>
  <w:style w:type="paragraph" w:styleId="Title">
    <w:name w:val="Title"/>
    <w:basedOn w:val="Normal"/>
    <w:next w:val="Normal"/>
    <w:link w:val="TitleChar"/>
    <w:uiPriority w:val="10"/>
    <w:qFormat/>
    <w:rsid w:val="00F847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4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847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4728"/>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F84728"/>
    <w:rPr>
      <w:color w:val="0000FF"/>
      <w:u w:val="single"/>
    </w:rPr>
  </w:style>
  <w:style w:type="character" w:styleId="Emphasis">
    <w:name w:val="Emphasis"/>
    <w:basedOn w:val="DefaultParagraphFont"/>
    <w:uiPriority w:val="20"/>
    <w:qFormat/>
    <w:rsid w:val="00F84728"/>
    <w:rPr>
      <w:i/>
      <w:iCs/>
    </w:rPr>
  </w:style>
  <w:style w:type="paragraph" w:styleId="ListParagraph">
    <w:name w:val="List Paragraph"/>
    <w:basedOn w:val="Normal"/>
    <w:uiPriority w:val="34"/>
    <w:qFormat/>
    <w:rsid w:val="00F84728"/>
    <w:pPr>
      <w:ind w:left="720"/>
      <w:contextualSpacing/>
    </w:pPr>
  </w:style>
  <w:style w:type="paragraph" w:styleId="Quote">
    <w:name w:val="Quote"/>
    <w:basedOn w:val="Normal"/>
    <w:next w:val="Normal"/>
    <w:link w:val="QuoteChar"/>
    <w:uiPriority w:val="29"/>
    <w:qFormat/>
    <w:rsid w:val="00F84728"/>
    <w:rPr>
      <w:i/>
      <w:iCs/>
      <w:color w:val="000000" w:themeColor="text1"/>
    </w:rPr>
  </w:style>
  <w:style w:type="character" w:customStyle="1" w:styleId="QuoteChar">
    <w:name w:val="Quote Char"/>
    <w:basedOn w:val="DefaultParagraphFont"/>
    <w:link w:val="Quote"/>
    <w:uiPriority w:val="29"/>
    <w:rsid w:val="00F84728"/>
    <w:rPr>
      <w:i/>
      <w:iCs/>
      <w:color w:val="000000" w:themeColor="text1"/>
    </w:rPr>
  </w:style>
  <w:style w:type="paragraph" w:styleId="IntenseQuote">
    <w:name w:val="Intense Quote"/>
    <w:basedOn w:val="Normal"/>
    <w:next w:val="Normal"/>
    <w:link w:val="IntenseQuoteChar"/>
    <w:uiPriority w:val="30"/>
    <w:qFormat/>
    <w:rsid w:val="00F847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84728"/>
    <w:rPr>
      <w:b/>
      <w:bCs/>
      <w:i/>
      <w:iCs/>
      <w:color w:val="4F81BD" w:themeColor="accent1"/>
    </w:rPr>
  </w:style>
  <w:style w:type="character" w:styleId="SubtleEmphasis">
    <w:name w:val="Subtle Emphasis"/>
    <w:basedOn w:val="DefaultParagraphFont"/>
    <w:uiPriority w:val="19"/>
    <w:qFormat/>
    <w:rsid w:val="00F84728"/>
    <w:rPr>
      <w:i/>
      <w:iCs/>
      <w:color w:val="808080" w:themeColor="text1" w:themeTint="7F"/>
    </w:rPr>
  </w:style>
  <w:style w:type="character" w:styleId="IntenseEmphasis">
    <w:name w:val="Intense Emphasis"/>
    <w:basedOn w:val="DefaultParagraphFont"/>
    <w:uiPriority w:val="21"/>
    <w:qFormat/>
    <w:rsid w:val="00F84728"/>
    <w:rPr>
      <w:b/>
      <w:bCs/>
      <w:i/>
      <w:iCs/>
      <w:color w:val="4F81BD" w:themeColor="accent1"/>
    </w:rPr>
  </w:style>
  <w:style w:type="character" w:styleId="IntenseReference">
    <w:name w:val="Intense Reference"/>
    <w:basedOn w:val="DefaultParagraphFont"/>
    <w:uiPriority w:val="32"/>
    <w:qFormat/>
    <w:rsid w:val="00F84728"/>
    <w:rPr>
      <w:b/>
      <w:bCs/>
      <w:smallCaps/>
      <w:color w:val="C0504D" w:themeColor="accent2"/>
      <w:spacing w:val="5"/>
      <w:u w:val="single"/>
    </w:rPr>
  </w:style>
  <w:style w:type="character" w:styleId="BookTitle">
    <w:name w:val="Book Title"/>
    <w:basedOn w:val="DefaultParagraphFont"/>
    <w:uiPriority w:val="33"/>
    <w:qFormat/>
    <w:rsid w:val="00F84728"/>
    <w:rPr>
      <w:b/>
      <w:bCs/>
      <w:smallCaps/>
      <w:spacing w:val="5"/>
    </w:rPr>
  </w:style>
  <w:style w:type="character" w:customStyle="1" w:styleId="Heading1Char">
    <w:name w:val="Heading 1 Char"/>
    <w:basedOn w:val="DefaultParagraphFont"/>
    <w:link w:val="Heading1"/>
    <w:uiPriority w:val="9"/>
    <w:rsid w:val="001168E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168E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168E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326571">
      <w:bodyDiv w:val="1"/>
      <w:marLeft w:val="0"/>
      <w:marRight w:val="0"/>
      <w:marTop w:val="0"/>
      <w:marBottom w:val="0"/>
      <w:divBdr>
        <w:top w:val="none" w:sz="0" w:space="0" w:color="auto"/>
        <w:left w:val="none" w:sz="0" w:space="0" w:color="auto"/>
        <w:bottom w:val="none" w:sz="0" w:space="0" w:color="auto"/>
        <w:right w:val="none" w:sz="0" w:space="0" w:color="auto"/>
      </w:divBdr>
    </w:div>
    <w:div w:id="1621033486">
      <w:bodyDiv w:val="1"/>
      <w:marLeft w:val="0"/>
      <w:marRight w:val="0"/>
      <w:marTop w:val="0"/>
      <w:marBottom w:val="0"/>
      <w:divBdr>
        <w:top w:val="none" w:sz="0" w:space="0" w:color="auto"/>
        <w:left w:val="none" w:sz="0" w:space="0" w:color="auto"/>
        <w:bottom w:val="none" w:sz="0" w:space="0" w:color="auto"/>
        <w:right w:val="none" w:sz="0" w:space="0" w:color="auto"/>
      </w:divBdr>
    </w:div>
    <w:div w:id="1751659852">
      <w:bodyDiv w:val="1"/>
      <w:marLeft w:val="0"/>
      <w:marRight w:val="0"/>
      <w:marTop w:val="0"/>
      <w:marBottom w:val="0"/>
      <w:divBdr>
        <w:top w:val="none" w:sz="0" w:space="0" w:color="auto"/>
        <w:left w:val="none" w:sz="0" w:space="0" w:color="auto"/>
        <w:bottom w:val="none" w:sz="0" w:space="0" w:color="auto"/>
        <w:right w:val="none" w:sz="0" w:space="0" w:color="auto"/>
      </w:divBdr>
      <w:divsChild>
        <w:div w:id="355205141">
          <w:marLeft w:val="0"/>
          <w:marRight w:val="0"/>
          <w:marTop w:val="225"/>
          <w:marBottom w:val="150"/>
          <w:divBdr>
            <w:top w:val="single" w:sz="6" w:space="6" w:color="0000FF"/>
            <w:left w:val="none" w:sz="0" w:space="0" w:color="auto"/>
            <w:bottom w:val="single" w:sz="6" w:space="2" w:color="0000FF"/>
            <w:right w:val="none" w:sz="0" w:space="0" w:color="auto"/>
          </w:divBdr>
          <w:divsChild>
            <w:div w:id="10402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9460">
      <w:bodyDiv w:val="1"/>
      <w:marLeft w:val="0"/>
      <w:marRight w:val="0"/>
      <w:marTop w:val="0"/>
      <w:marBottom w:val="0"/>
      <w:divBdr>
        <w:top w:val="none" w:sz="0" w:space="0" w:color="auto"/>
        <w:left w:val="none" w:sz="0" w:space="0" w:color="auto"/>
        <w:bottom w:val="none" w:sz="0" w:space="0" w:color="auto"/>
        <w:right w:val="none" w:sz="0" w:space="0" w:color="auto"/>
      </w:divBdr>
      <w:divsChild>
        <w:div w:id="1638145227">
          <w:marLeft w:val="0"/>
          <w:marRight w:val="0"/>
          <w:marTop w:val="225"/>
          <w:marBottom w:val="150"/>
          <w:divBdr>
            <w:top w:val="single" w:sz="6" w:space="6" w:color="0000FF"/>
            <w:left w:val="none" w:sz="0" w:space="0" w:color="auto"/>
            <w:bottom w:val="single" w:sz="6" w:space="2" w:color="0000FF"/>
            <w:right w:val="none" w:sz="0" w:space="0" w:color="auto"/>
          </w:divBdr>
          <w:divsChild>
            <w:div w:id="20427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Hannah</dc:creator>
  <cp:lastModifiedBy>Petrie, Hannah</cp:lastModifiedBy>
  <cp:revision>3</cp:revision>
  <dcterms:created xsi:type="dcterms:W3CDTF">2013-11-07T09:57:00Z</dcterms:created>
  <dcterms:modified xsi:type="dcterms:W3CDTF">2013-11-07T10:07:00Z</dcterms:modified>
</cp:coreProperties>
</file>