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E4E" w:rsidRDefault="002A0E4E" w:rsidP="00080E50">
      <w:pPr>
        <w:spacing w:line="360" w:lineRule="auto"/>
        <w:jc w:val="center"/>
        <w:rPr>
          <w:b/>
        </w:rPr>
      </w:pPr>
    </w:p>
    <w:p w:rsidR="003938DC" w:rsidRPr="005A045D" w:rsidRDefault="00E45266" w:rsidP="00080E50">
      <w:pPr>
        <w:spacing w:line="360" w:lineRule="auto"/>
        <w:jc w:val="center"/>
        <w:rPr>
          <w:b/>
        </w:rPr>
      </w:pPr>
      <w:r w:rsidRPr="005A045D">
        <w:rPr>
          <w:b/>
        </w:rPr>
        <w:t xml:space="preserve">The </w:t>
      </w:r>
      <w:r w:rsidR="00836D20" w:rsidRPr="005A045D">
        <w:rPr>
          <w:b/>
        </w:rPr>
        <w:t>HCA Wage Dataset</w:t>
      </w:r>
      <w:r w:rsidR="00DC50CE">
        <w:rPr>
          <w:b/>
        </w:rPr>
        <w:t>: a d</w:t>
      </w:r>
      <w:r w:rsidRPr="005A045D">
        <w:rPr>
          <w:b/>
        </w:rPr>
        <w:t xml:space="preserve">escriptive </w:t>
      </w:r>
      <w:r w:rsidR="00DC50CE">
        <w:rPr>
          <w:b/>
        </w:rPr>
        <w:t>r</w:t>
      </w:r>
      <w:r w:rsidRPr="005A045D">
        <w:rPr>
          <w:b/>
        </w:rPr>
        <w:t>eport</w:t>
      </w:r>
    </w:p>
    <w:p w:rsidR="00B27B7E" w:rsidRPr="005A045D" w:rsidRDefault="001C73A7" w:rsidP="00080E50">
      <w:pPr>
        <w:spacing w:line="360" w:lineRule="auto"/>
        <w:jc w:val="center"/>
      </w:pPr>
      <w:r w:rsidRPr="005A045D">
        <w:t>Richard J. Blakemore</w:t>
      </w:r>
      <w:r w:rsidR="00184ECC" w:rsidRPr="00184ECC">
        <w:rPr>
          <w:rStyle w:val="FootnoteReference"/>
        </w:rPr>
        <w:footnoteReference w:customMarkFollows="1" w:id="1"/>
        <w:sym w:font="Symbol" w:char="F02A"/>
      </w:r>
    </w:p>
    <w:p w:rsidR="00B27B7E" w:rsidRPr="005A045D" w:rsidRDefault="00B27B7E" w:rsidP="00080E50">
      <w:pPr>
        <w:spacing w:line="360" w:lineRule="auto"/>
        <w:jc w:val="both"/>
      </w:pPr>
    </w:p>
    <w:p w:rsidR="00836D20" w:rsidRPr="005A045D" w:rsidRDefault="00836D20" w:rsidP="004F7782">
      <w:pPr>
        <w:spacing w:line="360" w:lineRule="auto"/>
        <w:ind w:firstLine="720"/>
        <w:jc w:val="both"/>
        <w:rPr>
          <w:b/>
        </w:rPr>
      </w:pPr>
      <w:r w:rsidRPr="005A045D">
        <w:rPr>
          <w:b/>
        </w:rPr>
        <w:t>Introduction</w:t>
      </w:r>
      <w:r w:rsidR="00756A5B" w:rsidRPr="005A045D">
        <w:rPr>
          <w:b/>
        </w:rPr>
        <w:t xml:space="preserve"> </w:t>
      </w:r>
    </w:p>
    <w:p w:rsidR="006A410D" w:rsidRDefault="00D500AA" w:rsidP="00080E50">
      <w:pPr>
        <w:spacing w:line="360" w:lineRule="auto"/>
        <w:jc w:val="both"/>
      </w:pPr>
      <w:r>
        <w:t xml:space="preserve">The purpose of this document is to describe and explain the data gathered and presented in the HCA Wage Dataset, </w:t>
      </w:r>
      <w:r w:rsidR="006A410D">
        <w:t>which was compiled as part of the research undertaken by the project ‘Sailing into Modernity’</w:t>
      </w:r>
      <w:r w:rsidR="00225954">
        <w:t xml:space="preserve"> during 2012-2014. </w:t>
      </w:r>
      <w:r w:rsidR="008808DC">
        <w:t xml:space="preserve">The main objective of this project was to deliver a comparative </w:t>
      </w:r>
      <w:r w:rsidR="005C0B1D">
        <w:t>analysis</w:t>
      </w:r>
      <w:r w:rsidR="008808DC">
        <w:t xml:space="preserve"> </w:t>
      </w:r>
      <w:bookmarkStart w:id="0" w:name="_GoBack"/>
      <w:bookmarkEnd w:id="0"/>
      <w:r w:rsidR="008808DC">
        <w:t xml:space="preserve">of the social, political, legal, and economic position of seafarers in </w:t>
      </w:r>
      <w:r w:rsidR="007D5954">
        <w:t>four European countries (England</w:t>
      </w:r>
      <w:r w:rsidR="008808DC">
        <w:t>, France, Italy, and the Netherlands) from the late sixteenth to the early eighteenth century.</w:t>
      </w:r>
      <w:r w:rsidR="00B62BF0">
        <w:rPr>
          <w:rStyle w:val="FootnoteReference"/>
        </w:rPr>
        <w:footnoteReference w:id="2"/>
      </w:r>
      <w:r w:rsidR="008808DC">
        <w:t xml:space="preserve"> </w:t>
      </w:r>
    </w:p>
    <w:p w:rsidR="00D500AA" w:rsidRDefault="006A410D" w:rsidP="00080E50">
      <w:pPr>
        <w:spacing w:line="360" w:lineRule="auto"/>
        <w:ind w:firstLine="720"/>
        <w:jc w:val="both"/>
      </w:pPr>
      <w:r>
        <w:t xml:space="preserve">The dataset </w:t>
      </w:r>
      <w:r w:rsidR="00D500AA">
        <w:t>can be downloaded</w:t>
      </w:r>
      <w:r w:rsidR="00865CB3">
        <w:t xml:space="preserve"> in </w:t>
      </w:r>
      <w:r w:rsidR="00410EE6">
        <w:t xml:space="preserve">Microsoft </w:t>
      </w:r>
      <w:r w:rsidR="00023D60">
        <w:t>Access format (.accdb</w:t>
      </w:r>
      <w:r w:rsidR="008E1770">
        <w:t>)</w:t>
      </w:r>
      <w:r w:rsidR="00F06285">
        <w:t xml:space="preserve"> from the project’</w:t>
      </w:r>
      <w:r w:rsidR="00CB5AC1">
        <w:t xml:space="preserve">s resources </w:t>
      </w:r>
      <w:r w:rsidR="00CC50DE">
        <w:t>web</w:t>
      </w:r>
      <w:r w:rsidR="00CB5AC1">
        <w:t>page, on</w:t>
      </w:r>
      <w:r w:rsidR="00F06285">
        <w:t xml:space="preserve"> the website of the Centre for Maritime Historical Studies, University of Exeter, alongside datasets compiled by the project team from French, Italian, and Dutch sources</w:t>
      </w:r>
      <w:r w:rsidR="00D500AA">
        <w:t>.</w:t>
      </w:r>
      <w:r w:rsidR="002D6F59">
        <w:rPr>
          <w:rStyle w:val="FootnoteReference"/>
        </w:rPr>
        <w:footnoteReference w:id="3"/>
      </w:r>
      <w:r w:rsidR="00D500AA">
        <w:t xml:space="preserve"> </w:t>
      </w:r>
      <w:r w:rsidR="00F60C53">
        <w:t xml:space="preserve">A </w:t>
      </w:r>
      <w:r w:rsidR="00865CB3">
        <w:t>critical analysis of this data within its historical context has been submitted fo</w:t>
      </w:r>
      <w:r w:rsidR="000B5A73">
        <w:t>r publication.</w:t>
      </w:r>
      <w:r w:rsidR="006C20CA">
        <w:rPr>
          <w:rStyle w:val="FootnoteReference"/>
        </w:rPr>
        <w:footnoteReference w:id="4"/>
      </w:r>
      <w:r w:rsidR="000B5A73">
        <w:t xml:space="preserve"> T</w:t>
      </w:r>
      <w:r w:rsidR="008E7B3D">
        <w:t xml:space="preserve">his document </w:t>
      </w:r>
      <w:r w:rsidR="0085492F">
        <w:t>presents only a limited</w:t>
      </w:r>
      <w:r w:rsidR="008E7B3D">
        <w:t xml:space="preserve"> interpret</w:t>
      </w:r>
      <w:r w:rsidR="0085492F">
        <w:t>ation of</w:t>
      </w:r>
      <w:r w:rsidR="008A52EF">
        <w:t xml:space="preserve"> the data, </w:t>
      </w:r>
      <w:proofErr w:type="gramStart"/>
      <w:r w:rsidR="008A52EF">
        <w:t>and</w:t>
      </w:r>
      <w:proofErr w:type="gramEnd"/>
      <w:r w:rsidR="008E7B3D">
        <w:t xml:space="preserve"> is intended</w:t>
      </w:r>
      <w:r w:rsidR="00987504">
        <w:t xml:space="preserve"> solely </w:t>
      </w:r>
      <w:r w:rsidR="000B5A73">
        <w:t>to provide an introd</w:t>
      </w:r>
      <w:r w:rsidR="007B17F5">
        <w:t xml:space="preserve">uctory overview </w:t>
      </w:r>
      <w:r w:rsidR="00AC5717">
        <w:t>and accompanying guide for</w:t>
      </w:r>
      <w:r w:rsidR="00FD2D3D">
        <w:t xml:space="preserve"> the dataset.</w:t>
      </w:r>
    </w:p>
    <w:p w:rsidR="00CC0C64" w:rsidRPr="005A045D" w:rsidRDefault="00CC0C64" w:rsidP="00080E50">
      <w:pPr>
        <w:spacing w:line="360" w:lineRule="auto"/>
        <w:jc w:val="both"/>
      </w:pPr>
      <w:r>
        <w:tab/>
        <w:t xml:space="preserve"> </w:t>
      </w:r>
    </w:p>
    <w:p w:rsidR="00836D20" w:rsidRPr="005A045D" w:rsidRDefault="00836D20" w:rsidP="004F7782">
      <w:pPr>
        <w:spacing w:line="360" w:lineRule="auto"/>
        <w:ind w:firstLine="720"/>
        <w:jc w:val="both"/>
        <w:rPr>
          <w:b/>
        </w:rPr>
      </w:pPr>
      <w:r w:rsidRPr="005A045D">
        <w:rPr>
          <w:b/>
        </w:rPr>
        <w:t>Sources</w:t>
      </w:r>
    </w:p>
    <w:p w:rsidR="0018246B" w:rsidRDefault="0018246B" w:rsidP="00080E50">
      <w:pPr>
        <w:spacing w:line="360" w:lineRule="auto"/>
        <w:jc w:val="both"/>
      </w:pPr>
      <w:r>
        <w:t>The wage data has been gathered from the papers of the High Court of Admiralty (HCA), held at The National Archives, UK</w:t>
      </w:r>
      <w:r w:rsidR="003E603E">
        <w:t xml:space="preserve"> (TNA)</w:t>
      </w:r>
      <w:r w:rsidR="002E2A7B">
        <w:t xml:space="preserve">, and all references given in the </w:t>
      </w:r>
      <w:r w:rsidR="002E2A7B">
        <w:rPr>
          <w:b/>
        </w:rPr>
        <w:t xml:space="preserve">Sources </w:t>
      </w:r>
      <w:r w:rsidR="002E2A7B">
        <w:t xml:space="preserve">field </w:t>
      </w:r>
      <w:r w:rsidR="00A10487">
        <w:t xml:space="preserve">of the dataset </w:t>
      </w:r>
      <w:r w:rsidR="002E2A7B">
        <w:t>are to these documents</w:t>
      </w:r>
      <w:r>
        <w:t xml:space="preserve">. </w:t>
      </w:r>
      <w:r w:rsidR="008E4033">
        <w:t xml:space="preserve">The admiralty court was the premier institution in </w:t>
      </w:r>
      <w:r w:rsidR="00EC741A">
        <w:t xml:space="preserve">early modern </w:t>
      </w:r>
      <w:r w:rsidR="008E4033">
        <w:t xml:space="preserve">England for dealing with maritime disputes, including </w:t>
      </w:r>
      <w:r w:rsidR="00940EFB">
        <w:t xml:space="preserve">some </w:t>
      </w:r>
      <w:r w:rsidR="008E4033">
        <w:t>criminal ca</w:t>
      </w:r>
      <w:r w:rsidR="00940EFB">
        <w:t>ses such as piracy or theft, but primarily</w:t>
      </w:r>
      <w:r w:rsidR="008E4033">
        <w:t xml:space="preserve"> civil disputes between merchants, shipowners, and mariners. </w:t>
      </w:r>
      <w:r w:rsidR="002235FC">
        <w:t xml:space="preserve">The jurisdiction of the court was contested </w:t>
      </w:r>
      <w:r w:rsidR="00653259">
        <w:t xml:space="preserve">by </w:t>
      </w:r>
      <w:r w:rsidR="00274A45">
        <w:t>practitioners of common law</w:t>
      </w:r>
      <w:r w:rsidR="00653259">
        <w:t xml:space="preserve"> throughout the seventeenth century, and eventually the court’s cognizance was restricted in certain areas, </w:t>
      </w:r>
      <w:r w:rsidR="00653259">
        <w:lastRenderedPageBreak/>
        <w:t>but it continued to be the major forum for lawsuits concerning wages (although mariners did</w:t>
      </w:r>
      <w:r w:rsidR="005A0233">
        <w:t xml:space="preserve"> sometimes </w:t>
      </w:r>
      <w:r w:rsidR="00653259">
        <w:t>sue in other local courts).</w:t>
      </w:r>
      <w:r w:rsidR="00653259">
        <w:rPr>
          <w:rStyle w:val="FootnoteReference"/>
        </w:rPr>
        <w:footnoteReference w:id="5"/>
      </w:r>
      <w:r w:rsidR="00844799">
        <w:t xml:space="preserve"> These sources have </w:t>
      </w:r>
      <w:r w:rsidR="008A56A2">
        <w:t xml:space="preserve">previously </w:t>
      </w:r>
      <w:r w:rsidR="00844799">
        <w:t>been used by historians</w:t>
      </w:r>
      <w:r w:rsidR="00D46A94">
        <w:t>, amongst other</w:t>
      </w:r>
      <w:r w:rsidR="00410E11">
        <w:t xml:space="preserve"> purposes</w:t>
      </w:r>
      <w:r w:rsidR="00844799">
        <w:t xml:space="preserve"> to collect data on wages, but </w:t>
      </w:r>
      <w:r w:rsidR="00767702">
        <w:t>so far no dataset based upon the HCA papers has been made publicly available.</w:t>
      </w:r>
      <w:r w:rsidR="0031593B">
        <w:rPr>
          <w:rStyle w:val="FootnoteReference"/>
        </w:rPr>
        <w:footnoteReference w:id="6"/>
      </w:r>
      <w:r w:rsidR="00767702">
        <w:t xml:space="preserve"> </w:t>
      </w:r>
    </w:p>
    <w:p w:rsidR="00420CE8" w:rsidRDefault="00420CE8" w:rsidP="00080E50">
      <w:pPr>
        <w:spacing w:line="360" w:lineRule="auto"/>
        <w:ind w:firstLine="720"/>
        <w:jc w:val="both"/>
      </w:pPr>
      <w:r w:rsidRPr="00420CE8">
        <w:t xml:space="preserve">Given the volume and richness of the HCA papers, my research has been structured around four samples of the years 1590-3, 1644-9, 1655-8, and 1682-5. These were selected partially on the basis of </w:t>
      </w:r>
      <w:r w:rsidR="008C0A39">
        <w:t xml:space="preserve">the court material itself, for </w:t>
      </w:r>
      <w:r w:rsidRPr="00420CE8">
        <w:t xml:space="preserve">the court </w:t>
      </w:r>
      <w:proofErr w:type="gramStart"/>
      <w:r w:rsidRPr="00420CE8">
        <w:t>was busiest and produced the most documents</w:t>
      </w:r>
      <w:proofErr w:type="gramEnd"/>
      <w:r w:rsidRPr="00420CE8">
        <w:t xml:space="preserve"> during the 1640s and 1650s.</w:t>
      </w:r>
      <w:r w:rsidR="002C1DF3">
        <w:rPr>
          <w:rStyle w:val="FootnoteReference"/>
        </w:rPr>
        <w:footnoteReference w:id="7"/>
      </w:r>
      <w:r w:rsidRPr="00420CE8">
        <w:t xml:space="preserve"> The 1644-9 and 1655-8 samples were therefore chosen as core research with the earlier and later samples providing comparative material to understand change over the course of the seventeenth century.</w:t>
      </w:r>
      <w:r w:rsidRPr="00420CE8">
        <w:rPr>
          <w:vertAlign w:val="superscript"/>
        </w:rPr>
        <w:footnoteReference w:id="8"/>
      </w:r>
      <w:r w:rsidRPr="00420CE8">
        <w:t xml:space="preserve"> They were also selected in consultation with the other members of the project, considering developments in the Mediterranean and in their areas of focus. The 1590s represent an early stage of the presence of both British and Dutch shipping in the Mediterranean.</w:t>
      </w:r>
      <w:r w:rsidR="009C6667">
        <w:rPr>
          <w:rStyle w:val="FootnoteReference"/>
        </w:rPr>
        <w:footnoteReference w:id="9"/>
      </w:r>
      <w:r w:rsidRPr="00420CE8">
        <w:t xml:space="preserve"> The 1640s witnessed political upheaval in Britain (with consequences for the HCA) at the same time as increasing definition of maritime law in both Venice and the Netherlands, </w:t>
      </w:r>
      <w:r w:rsidR="001E6E8B">
        <w:t>while the 1650s saw</w:t>
      </w:r>
      <w:r w:rsidRPr="00420CE8">
        <w:t xml:space="preserve"> conflict </w:t>
      </w:r>
      <w:r w:rsidRPr="00420CE8">
        <w:lastRenderedPageBreak/>
        <w:t>between Britain and the Netherlands, and in both decades English ships were employed by the Venetian state in their war against the Ottoman Empire.</w:t>
      </w:r>
      <w:r w:rsidR="0018441D">
        <w:rPr>
          <w:rStyle w:val="FootnoteReference"/>
        </w:rPr>
        <w:footnoteReference w:id="10"/>
      </w:r>
      <w:r w:rsidRPr="00420CE8">
        <w:t xml:space="preserve"> The years 1682-5 were selected to consider a later stage in British maritime activity, but also to compare with the consequences of Venetian legal reform in 1679 and the introduction of the </w:t>
      </w:r>
      <w:r w:rsidRPr="00420CE8">
        <w:rPr>
          <w:i/>
        </w:rPr>
        <w:t xml:space="preserve">Ordonnance de la Marine </w:t>
      </w:r>
      <w:r w:rsidRPr="00420CE8">
        <w:t>in France in 1681.</w:t>
      </w:r>
      <w:r w:rsidR="002C1DF3">
        <w:rPr>
          <w:rStyle w:val="FootnoteReference"/>
        </w:rPr>
        <w:footnoteReference w:id="11"/>
      </w:r>
      <w:r w:rsidRPr="00420CE8">
        <w:t xml:space="preserve"> </w:t>
      </w:r>
    </w:p>
    <w:p w:rsidR="005913D3" w:rsidRDefault="00420CE8" w:rsidP="00BB4FB7">
      <w:pPr>
        <w:spacing w:after="240" w:line="360" w:lineRule="auto"/>
        <w:ind w:firstLine="720"/>
        <w:jc w:val="both"/>
      </w:pPr>
      <w:r w:rsidRPr="00420CE8">
        <w:t>Within these samples, certain series of the HCA papers were consult</w:t>
      </w:r>
      <w:r w:rsidR="004D78A3">
        <w:t xml:space="preserve">ed, principally </w:t>
      </w:r>
      <w:r w:rsidRPr="00420CE8">
        <w:t>those which contained the subject matter of the lawsuits. The first of these are the volumes of libels, allegations and decrees, which contain the claims of both plaintiffs and defendants, and also some judgments by the court.</w:t>
      </w:r>
      <w:r w:rsidRPr="00420CE8">
        <w:rPr>
          <w:vertAlign w:val="superscript"/>
        </w:rPr>
        <w:footnoteReference w:id="12"/>
      </w:r>
      <w:r w:rsidR="00CC5443">
        <w:t xml:space="preserve"> The second a</w:t>
      </w:r>
      <w:r w:rsidRPr="00420CE8">
        <w:t>re the interrogatories, issued by one party to the witnesses of their opponents as a form of cross-examination.</w:t>
      </w:r>
      <w:r w:rsidRPr="00420CE8">
        <w:rPr>
          <w:vertAlign w:val="superscript"/>
        </w:rPr>
        <w:footnoteReference w:id="13"/>
      </w:r>
      <w:r w:rsidR="00CC5443">
        <w:t xml:space="preserve"> The third a</w:t>
      </w:r>
      <w:r w:rsidRPr="00420CE8">
        <w:t>re examination and answer books, containing the responses of witnesses and defendants to the libels, allegations, and interrogatories.</w:t>
      </w:r>
      <w:r w:rsidRPr="00420CE8">
        <w:rPr>
          <w:vertAlign w:val="superscript"/>
        </w:rPr>
        <w:footnoteReference w:id="14"/>
      </w:r>
      <w:r w:rsidRPr="00420CE8">
        <w:t xml:space="preserve"> Finally, </w:t>
      </w:r>
      <w:r w:rsidR="00282557">
        <w:t>there are</w:t>
      </w:r>
      <w:r w:rsidRPr="00420CE8">
        <w:t xml:space="preserve"> the court acts books, which provide much procedural detail on court cases but also some subject matter for those lawsuits which were heard summarily before the judge.</w:t>
      </w:r>
      <w:r w:rsidRPr="00420CE8">
        <w:rPr>
          <w:vertAlign w:val="superscript"/>
        </w:rPr>
        <w:footnoteReference w:id="15"/>
      </w:r>
      <w:r w:rsidRPr="00420CE8">
        <w:t xml:space="preserve"> </w:t>
      </w:r>
      <w:r w:rsidR="005D71A9" w:rsidRPr="00420CE8">
        <w:t>My approach has b</w:t>
      </w:r>
      <w:r w:rsidR="00F6477F">
        <w:t>een to identify and reconstruct</w:t>
      </w:r>
      <w:r w:rsidR="005D71A9" w:rsidRPr="00420CE8">
        <w:t xml:space="preserve"> cases across these series, althou</w:t>
      </w:r>
      <w:r w:rsidR="00F227A9">
        <w:t>gh many have documents missing. I</w:t>
      </w:r>
      <w:r w:rsidR="005D71A9" w:rsidRPr="00420CE8">
        <w:t>ndeed, in May 1650 the court registrar complained that lawyers</w:t>
      </w:r>
      <w:r w:rsidR="00F227A9">
        <w:t xml:space="preserve"> ‘</w:t>
      </w:r>
      <w:r w:rsidR="003674E0">
        <w:t xml:space="preserve">oftentimes </w:t>
      </w:r>
      <w:r w:rsidR="00F227A9">
        <w:t>by consent amongst themselves’</w:t>
      </w:r>
      <w:r w:rsidR="005D71A9" w:rsidRPr="00420CE8">
        <w:t xml:space="preserve"> </w:t>
      </w:r>
      <w:r w:rsidR="00BC4A70">
        <w:t>failed to</w:t>
      </w:r>
      <w:r w:rsidR="005D71A9" w:rsidRPr="00420CE8">
        <w:t xml:space="preserve"> submit the necessary documentation</w:t>
      </w:r>
      <w:r w:rsidR="000E0879">
        <w:t>, ‘whereby the Records are imperfect’</w:t>
      </w:r>
      <w:r w:rsidR="005D71A9" w:rsidRPr="00420CE8">
        <w:t>.</w:t>
      </w:r>
      <w:r w:rsidR="005D71A9">
        <w:rPr>
          <w:rStyle w:val="FootnoteReference"/>
        </w:rPr>
        <w:footnoteReference w:id="16"/>
      </w:r>
      <w:r w:rsidR="004F79CA" w:rsidRPr="004F79CA">
        <w:t xml:space="preserve"> </w:t>
      </w:r>
    </w:p>
    <w:p w:rsidR="005D71A9" w:rsidRDefault="000B1FE0" w:rsidP="00004DC4">
      <w:pPr>
        <w:spacing w:line="360" w:lineRule="auto"/>
        <w:jc w:val="center"/>
        <w:rPr>
          <w:b/>
        </w:rPr>
      </w:pPr>
      <w:r w:rsidRPr="004F79CA">
        <w:rPr>
          <w:noProof/>
          <w:lang w:eastAsia="en-GB"/>
        </w:rPr>
        <w:drawing>
          <wp:anchor distT="0" distB="0" distL="114300" distR="114300" simplePos="0" relativeHeight="251658240" behindDoc="0" locked="0" layoutInCell="1" allowOverlap="1" wp14:anchorId="2931C812" wp14:editId="75D5283D">
            <wp:simplePos x="0" y="0"/>
            <wp:positionH relativeFrom="margin">
              <wp:align>center</wp:align>
            </wp:positionH>
            <wp:positionV relativeFrom="paragraph">
              <wp:posOffset>237775</wp:posOffset>
            </wp:positionV>
            <wp:extent cx="4944110" cy="1253490"/>
            <wp:effectExtent l="0" t="0" r="889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27231"/>
                    <a:stretch/>
                  </pic:blipFill>
                  <pic:spPr bwMode="auto">
                    <a:xfrm>
                      <a:off x="0" y="0"/>
                      <a:ext cx="4944110" cy="125349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4F79CA">
        <w:rPr>
          <w:b/>
        </w:rPr>
        <w:t xml:space="preserve">Figure 1: </w:t>
      </w:r>
      <w:r w:rsidR="00C31926">
        <w:rPr>
          <w:b/>
        </w:rPr>
        <w:t>Detail from the</w:t>
      </w:r>
      <w:r w:rsidR="00111685">
        <w:rPr>
          <w:b/>
        </w:rPr>
        <w:t xml:space="preserve"> HCA </w:t>
      </w:r>
      <w:r w:rsidR="004F79CA">
        <w:rPr>
          <w:b/>
        </w:rPr>
        <w:t>act</w:t>
      </w:r>
      <w:r w:rsidR="00A70301">
        <w:rPr>
          <w:b/>
        </w:rPr>
        <w:t>s</w:t>
      </w:r>
      <w:r w:rsidR="004F79CA">
        <w:rPr>
          <w:b/>
        </w:rPr>
        <w:t xml:space="preserve"> book, 30 May 1650, TNA HCA 3/43 </w:t>
      </w:r>
      <w:proofErr w:type="gramStart"/>
      <w:r w:rsidR="004F79CA">
        <w:rPr>
          <w:b/>
        </w:rPr>
        <w:t>fo</w:t>
      </w:r>
      <w:proofErr w:type="gramEnd"/>
      <w:r w:rsidR="004F79CA">
        <w:rPr>
          <w:b/>
        </w:rPr>
        <w:t>. 497r</w:t>
      </w:r>
    </w:p>
    <w:p w:rsidR="005913D3" w:rsidRDefault="005913D3" w:rsidP="004F79CA">
      <w:pPr>
        <w:spacing w:line="360" w:lineRule="auto"/>
        <w:ind w:firstLine="720"/>
        <w:jc w:val="both"/>
      </w:pPr>
    </w:p>
    <w:p w:rsidR="004A4EEA" w:rsidRDefault="00420CE8" w:rsidP="00080E50">
      <w:pPr>
        <w:spacing w:line="360" w:lineRule="auto"/>
        <w:ind w:firstLine="720"/>
        <w:jc w:val="both"/>
      </w:pPr>
      <w:r w:rsidRPr="00420CE8">
        <w:t>Most of these series do not run in neat chronological volumes, so th</w:t>
      </w:r>
      <w:r w:rsidR="00D44E27">
        <w:t>at in examining those volumes which cover</w:t>
      </w:r>
      <w:r w:rsidRPr="00420CE8">
        <w:t xml:space="preserve"> the</w:t>
      </w:r>
      <w:r w:rsidR="00D44E27">
        <w:t xml:space="preserve"> selected</w:t>
      </w:r>
      <w:r w:rsidRPr="00420CE8">
        <w:t xml:space="preserve"> sample years </w:t>
      </w:r>
      <w:r w:rsidR="00786A8A">
        <w:t xml:space="preserve">data has also been collected for adjacent years where this has been available, although it </w:t>
      </w:r>
      <w:r w:rsidR="004B0414">
        <w:t xml:space="preserve">was not </w:t>
      </w:r>
      <w:r w:rsidR="00AF725C">
        <w:t>always</w:t>
      </w:r>
      <w:r w:rsidR="00786A8A">
        <w:t xml:space="preserve"> possible to pursue these lawsuits in their entirety</w:t>
      </w:r>
      <w:r w:rsidR="00271FAA">
        <w:t xml:space="preserve"> (see T</w:t>
      </w:r>
      <w:r w:rsidR="001976B1">
        <w:t>able 1)</w:t>
      </w:r>
      <w:r w:rsidRPr="00420CE8">
        <w:t>. There are other series</w:t>
      </w:r>
      <w:r w:rsidR="005C68B6">
        <w:t xml:space="preserve"> of records</w:t>
      </w:r>
      <w:r w:rsidRPr="00420CE8">
        <w:t xml:space="preserve"> which could, with time, be adde</w:t>
      </w:r>
      <w:r w:rsidR="00D24C2A">
        <w:t xml:space="preserve">d to these: the admiralty court’s </w:t>
      </w:r>
      <w:r w:rsidRPr="00420CE8">
        <w:t>criminal jurisdiction was excluded from this study, and the series of instance papers and miscellanea could offer much supplementary detail to the cases I have examined.</w:t>
      </w:r>
      <w:r w:rsidRPr="00420CE8">
        <w:rPr>
          <w:vertAlign w:val="superscript"/>
        </w:rPr>
        <w:footnoteReference w:id="17"/>
      </w:r>
      <w:r w:rsidR="00992E6F">
        <w:t xml:space="preserve"> </w:t>
      </w:r>
    </w:p>
    <w:p w:rsidR="004A4EEA" w:rsidRPr="005A045D" w:rsidRDefault="004A4EEA" w:rsidP="00080E50">
      <w:pPr>
        <w:spacing w:line="360" w:lineRule="auto"/>
        <w:jc w:val="both"/>
      </w:pPr>
    </w:p>
    <w:p w:rsidR="00EB74D2" w:rsidRPr="00844799" w:rsidRDefault="005C7646" w:rsidP="004F7782">
      <w:pPr>
        <w:spacing w:line="360" w:lineRule="auto"/>
        <w:ind w:firstLine="720"/>
        <w:jc w:val="both"/>
        <w:rPr>
          <w:b/>
        </w:rPr>
      </w:pPr>
      <w:r w:rsidRPr="005A045D">
        <w:rPr>
          <w:b/>
        </w:rPr>
        <w:t>Data</w:t>
      </w:r>
    </w:p>
    <w:p w:rsidR="00223594" w:rsidRDefault="00FC7DC4" w:rsidP="00BB4FB7">
      <w:pPr>
        <w:spacing w:after="240" w:line="360" w:lineRule="auto"/>
        <w:jc w:val="both"/>
      </w:pPr>
      <w:r>
        <w:t>These samples ha</w:t>
      </w:r>
      <w:r w:rsidR="006E188A">
        <w:t>ve yielded 1,817</w:t>
      </w:r>
      <w:r w:rsidR="005C3FD9">
        <w:t xml:space="preserve"> entries</w:t>
      </w:r>
      <w:r w:rsidR="00370918">
        <w:t xml:space="preserve"> across 237</w:t>
      </w:r>
      <w:r>
        <w:t xml:space="preserve"> voyages; a</w:t>
      </w:r>
      <w:r w:rsidR="00F12863">
        <w:t xml:space="preserve">ll entries in the </w:t>
      </w:r>
      <w:r w:rsidR="001337F9">
        <w:t>dataset</w:t>
      </w:r>
      <w:r w:rsidR="00F12863">
        <w:t xml:space="preserve"> have been</w:t>
      </w:r>
      <w:r w:rsidR="00060833">
        <w:t xml:space="preserve"> assigned an individual ID number (</w:t>
      </w:r>
      <w:r w:rsidR="00060833">
        <w:rPr>
          <w:b/>
        </w:rPr>
        <w:t xml:space="preserve">ID </w:t>
      </w:r>
      <w:r w:rsidR="00060833">
        <w:t>field), and are</w:t>
      </w:r>
      <w:r w:rsidR="00F12863">
        <w:t xml:space="preserve"> organised by voyage, </w:t>
      </w:r>
      <w:r w:rsidR="00060833">
        <w:t xml:space="preserve">with </w:t>
      </w:r>
      <w:r w:rsidR="00F12863">
        <w:t xml:space="preserve">each individual voyage </w:t>
      </w:r>
      <w:r w:rsidR="00060833">
        <w:t>also</w:t>
      </w:r>
      <w:r w:rsidR="00F12863">
        <w:t xml:space="preserve"> assigned a number</w:t>
      </w:r>
      <w:r w:rsidR="00060833">
        <w:t xml:space="preserve"> (</w:t>
      </w:r>
      <w:r w:rsidR="00060833">
        <w:rPr>
          <w:b/>
        </w:rPr>
        <w:t xml:space="preserve">Vge no </w:t>
      </w:r>
      <w:r w:rsidR="00060833">
        <w:t>field)</w:t>
      </w:r>
      <w:r w:rsidR="00F12863">
        <w:t xml:space="preserve">. </w:t>
      </w:r>
      <w:r w:rsidR="003F2D5A">
        <w:t xml:space="preserve">However, </w:t>
      </w:r>
      <w:r w:rsidR="005C1312">
        <w:t>7</w:t>
      </w:r>
      <w:r w:rsidR="00E724FA">
        <w:t>1</w:t>
      </w:r>
      <w:r w:rsidR="00223594">
        <w:t xml:space="preserve"> entries </w:t>
      </w:r>
      <w:r w:rsidR="00CD74D5">
        <w:t xml:space="preserve">present </w:t>
      </w:r>
      <w:r w:rsidR="001337F9">
        <w:t xml:space="preserve">in the </w:t>
      </w:r>
      <w:r w:rsidR="00CD74D5">
        <w:t xml:space="preserve">MS Access </w:t>
      </w:r>
      <w:r w:rsidR="001337F9">
        <w:t>database</w:t>
      </w:r>
      <w:r w:rsidR="002463C7">
        <w:t xml:space="preserve"> </w:t>
      </w:r>
      <w:r w:rsidR="00223594">
        <w:t xml:space="preserve">have been excluded from </w:t>
      </w:r>
      <w:r w:rsidR="00B3654F">
        <w:t xml:space="preserve">all </w:t>
      </w:r>
      <w:r w:rsidR="00223594">
        <w:t>calculations based upon the dataset. There are 2</w:t>
      </w:r>
      <w:r w:rsidR="00B73A01">
        <w:t>4</w:t>
      </w:r>
      <w:r w:rsidR="00223594">
        <w:t xml:space="preserve"> </w:t>
      </w:r>
      <w:r w:rsidR="000F45FC">
        <w:t xml:space="preserve">entries which give no wage, </w:t>
      </w:r>
      <w:r w:rsidR="00F769B0">
        <w:t>and are therefore un</w:t>
      </w:r>
      <w:r w:rsidR="00F02040">
        <w:t>usable for statistical purpose</w:t>
      </w:r>
      <w:r w:rsidR="00F769B0">
        <w:t xml:space="preserve">s, but </w:t>
      </w:r>
      <w:r w:rsidR="000F45FC">
        <w:t>which</w:t>
      </w:r>
      <w:r w:rsidR="00223594">
        <w:t xml:space="preserve"> have been included in the </w:t>
      </w:r>
      <w:r w:rsidR="00952385">
        <w:t>datab</w:t>
      </w:r>
      <w:r w:rsidR="00345613">
        <w:t>a</w:t>
      </w:r>
      <w:r w:rsidR="00952385">
        <w:t>se</w:t>
      </w:r>
      <w:r w:rsidR="00223594">
        <w:t xml:space="preserve"> to ensure that </w:t>
      </w:r>
      <w:r w:rsidR="00845AE9">
        <w:t>this reflects</w:t>
      </w:r>
      <w:r w:rsidR="00E56848">
        <w:t xml:space="preserve"> the sources</w:t>
      </w:r>
      <w:r w:rsidR="00223594">
        <w:t xml:space="preserve"> and the </w:t>
      </w:r>
      <w:r w:rsidR="00E56848">
        <w:t>composition of each</w:t>
      </w:r>
      <w:r w:rsidR="00223594">
        <w:t xml:space="preserve"> ship’s crew as closely as possible.</w:t>
      </w:r>
      <w:r w:rsidR="00846C72">
        <w:rPr>
          <w:rStyle w:val="FootnoteReference"/>
        </w:rPr>
        <w:footnoteReference w:id="18"/>
      </w:r>
      <w:r w:rsidR="00223594">
        <w:t xml:space="preserve"> </w:t>
      </w:r>
      <w:r w:rsidR="00F13093">
        <w:t xml:space="preserve">Similarly, to </w:t>
      </w:r>
      <w:r w:rsidR="0017706F">
        <w:t>make</w:t>
      </w:r>
      <w:r w:rsidR="00F13093">
        <w:t xml:space="preserve"> the four samples comparable</w:t>
      </w:r>
      <w:r w:rsidR="00135190">
        <w:t xml:space="preserve"> in chronological terms</w:t>
      </w:r>
      <w:r w:rsidR="00F13093">
        <w:t xml:space="preserve">, 47 entries </w:t>
      </w:r>
      <w:r w:rsidR="00E82283">
        <w:t>across 17</w:t>
      </w:r>
      <w:r w:rsidR="00810107">
        <w:t xml:space="preserve"> voyages </w:t>
      </w:r>
      <w:r w:rsidR="00F13093">
        <w:t>dated to the 1670s and 1690s have been</w:t>
      </w:r>
      <w:r w:rsidR="00EE1004">
        <w:t xml:space="preserve"> excluded</w:t>
      </w:r>
      <w:r w:rsidR="00D85835">
        <w:t xml:space="preserve">, but these entries have </w:t>
      </w:r>
      <w:r w:rsidR="006620E8">
        <w:t>also</w:t>
      </w:r>
      <w:r w:rsidR="00EE1004">
        <w:t xml:space="preserve"> been</w:t>
      </w:r>
      <w:r w:rsidR="00BC10AA">
        <w:t xml:space="preserve"> made available</w:t>
      </w:r>
      <w:r w:rsidR="00B963D0">
        <w:t xml:space="preserve"> in the </w:t>
      </w:r>
      <w:r w:rsidR="00715D1F">
        <w:t>database</w:t>
      </w:r>
      <w:r w:rsidR="00B963D0">
        <w:t>.</w:t>
      </w:r>
      <w:r w:rsidR="00715D1F">
        <w:rPr>
          <w:rStyle w:val="FootnoteReference"/>
        </w:rPr>
        <w:footnoteReference w:id="19"/>
      </w:r>
      <w:r w:rsidR="00B963D0">
        <w:t xml:space="preserve"> A</w:t>
      </w:r>
      <w:r w:rsidR="006620E8">
        <w:t xml:space="preserve">ll </w:t>
      </w:r>
      <w:r w:rsidR="00095C90">
        <w:t>excluded entries are marked</w:t>
      </w:r>
      <w:r w:rsidR="00AB7DD6">
        <w:t xml:space="preserve"> in the </w:t>
      </w:r>
      <w:r w:rsidR="00BC3B51">
        <w:t>database</w:t>
      </w:r>
      <w:r w:rsidR="00095C90">
        <w:t xml:space="preserve"> by blue text</w:t>
      </w:r>
      <w:r w:rsidR="00BC3B51">
        <w:t xml:space="preserve"> in the </w:t>
      </w:r>
      <w:r w:rsidR="00BC3B51">
        <w:rPr>
          <w:b/>
        </w:rPr>
        <w:t xml:space="preserve">Name </w:t>
      </w:r>
      <w:r w:rsidR="00BC3B51">
        <w:t>field</w:t>
      </w:r>
      <w:r w:rsidR="00095C90">
        <w:t>.</w:t>
      </w:r>
      <w:r w:rsidR="00AC1DEC" w:rsidRPr="00AC1DEC">
        <w:t xml:space="preserve"> </w:t>
      </w:r>
      <w:r w:rsidR="00B379D4">
        <w:t>The c</w:t>
      </w:r>
      <w:r w:rsidR="004738E8">
        <w:t>alculatio</w:t>
      </w:r>
      <w:r w:rsidR="00566ADD">
        <w:t xml:space="preserve">ns from the dataset </w:t>
      </w:r>
      <w:r w:rsidR="00B379D4">
        <w:t xml:space="preserve">which follow </w:t>
      </w:r>
      <w:r w:rsidR="00566ADD">
        <w:t>are therefo</w:t>
      </w:r>
      <w:r w:rsidR="004738E8">
        <w:t>r</w:t>
      </w:r>
      <w:r w:rsidR="00566ADD">
        <w:t>e</w:t>
      </w:r>
      <w:r w:rsidR="004738E8">
        <w:t xml:space="preserve"> based upon the remaining </w:t>
      </w:r>
      <w:r w:rsidR="002223FF">
        <w:t>1,746</w:t>
      </w:r>
      <w:r w:rsidR="00CC4924">
        <w:t xml:space="preserve"> wage entries across 2</w:t>
      </w:r>
      <w:r w:rsidR="000F27B3">
        <w:t>20</w:t>
      </w:r>
      <w:r w:rsidR="00AC1DEC">
        <w:t xml:space="preserve"> distinct voyages.</w:t>
      </w:r>
    </w:p>
    <w:p w:rsidR="00784B5B" w:rsidRPr="00784B5B" w:rsidRDefault="00DC50CE" w:rsidP="00146593">
      <w:pPr>
        <w:spacing w:line="360" w:lineRule="auto"/>
        <w:jc w:val="center"/>
        <w:rPr>
          <w:b/>
        </w:rPr>
      </w:pPr>
      <w:r>
        <w:rPr>
          <w:b/>
        </w:rPr>
        <w:t>Table 1: Wage e</w:t>
      </w:r>
      <w:r w:rsidR="00784B5B">
        <w:rPr>
          <w:b/>
        </w:rPr>
        <w:t>ntries in the HCA Wage Dataset</w:t>
      </w:r>
    </w:p>
    <w:tbl>
      <w:tblPr>
        <w:tblStyle w:val="TableGrid"/>
        <w:tblW w:w="0" w:type="auto"/>
        <w:tblLook w:val="04A0" w:firstRow="1" w:lastRow="0" w:firstColumn="1" w:lastColumn="0" w:noHBand="0" w:noVBand="1"/>
      </w:tblPr>
      <w:tblGrid>
        <w:gridCol w:w="1803"/>
        <w:gridCol w:w="1803"/>
        <w:gridCol w:w="1209"/>
        <w:gridCol w:w="283"/>
        <w:gridCol w:w="426"/>
        <w:gridCol w:w="1688"/>
        <w:gridCol w:w="1568"/>
        <w:gridCol w:w="236"/>
      </w:tblGrid>
      <w:tr w:rsidR="00784B5B" w:rsidTr="0071248E">
        <w:tc>
          <w:tcPr>
            <w:tcW w:w="4815" w:type="dxa"/>
            <w:gridSpan w:val="3"/>
            <w:tcBorders>
              <w:left w:val="single" w:sz="4" w:space="0" w:color="auto"/>
              <w:right w:val="nil"/>
            </w:tcBorders>
          </w:tcPr>
          <w:p w:rsidR="00784B5B" w:rsidRDefault="00AA7B9C"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Data c</w:t>
            </w:r>
            <w:r w:rsidR="00784B5B">
              <w:t>ollected</w:t>
            </w:r>
            <w:r>
              <w:t xml:space="preserve"> &amp; presented in database f</w:t>
            </w:r>
            <w:r w:rsidR="00865B7B">
              <w:t>ile</w:t>
            </w:r>
          </w:p>
        </w:tc>
        <w:tc>
          <w:tcPr>
            <w:tcW w:w="283" w:type="dxa"/>
            <w:tcBorders>
              <w:left w:val="nil"/>
              <w:right w:val="nil"/>
            </w:tcBorders>
          </w:tcPr>
          <w:p w:rsidR="00784B5B" w:rsidRDefault="00784B5B"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p>
        </w:tc>
        <w:tc>
          <w:tcPr>
            <w:tcW w:w="426" w:type="dxa"/>
            <w:tcBorders>
              <w:left w:val="nil"/>
              <w:right w:val="single" w:sz="4" w:space="0" w:color="auto"/>
            </w:tcBorders>
          </w:tcPr>
          <w:p w:rsidR="00784B5B" w:rsidRDefault="00784B5B"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p>
        </w:tc>
        <w:tc>
          <w:tcPr>
            <w:tcW w:w="3256" w:type="dxa"/>
            <w:gridSpan w:val="2"/>
            <w:tcBorders>
              <w:left w:val="single" w:sz="4" w:space="0" w:color="auto"/>
              <w:bottom w:val="single" w:sz="4" w:space="0" w:color="auto"/>
              <w:right w:val="nil"/>
            </w:tcBorders>
          </w:tcPr>
          <w:p w:rsidR="00784B5B" w:rsidRDefault="00784B5B" w:rsidP="00AA7B9C">
            <w:pPr>
              <w:pBdr>
                <w:top w:val="none" w:sz="0" w:space="0" w:color="auto"/>
                <w:left w:val="none" w:sz="0" w:space="0" w:color="auto"/>
                <w:bottom w:val="none" w:sz="0" w:space="0" w:color="auto"/>
                <w:right w:val="none" w:sz="0" w:space="0" w:color="auto"/>
                <w:between w:val="none" w:sz="0" w:space="0" w:color="auto"/>
              </w:pBdr>
              <w:spacing w:line="276" w:lineRule="auto"/>
              <w:jc w:val="center"/>
            </w:pPr>
            <w:r>
              <w:t>Data</w:t>
            </w:r>
            <w:r w:rsidR="00865B7B">
              <w:t>set</w:t>
            </w:r>
            <w:r>
              <w:t xml:space="preserve"> </w:t>
            </w:r>
            <w:r w:rsidR="00AA7B9C">
              <w:t>u</w:t>
            </w:r>
            <w:r w:rsidR="00C962F4">
              <w:t xml:space="preserve">sed </w:t>
            </w:r>
            <w:r>
              <w:t xml:space="preserve">for </w:t>
            </w:r>
            <w:r w:rsidR="00AA7B9C">
              <w:t>c</w:t>
            </w:r>
            <w:r>
              <w:t>alculation</w:t>
            </w:r>
          </w:p>
        </w:tc>
        <w:tc>
          <w:tcPr>
            <w:tcW w:w="236" w:type="dxa"/>
            <w:tcBorders>
              <w:left w:val="nil"/>
            </w:tcBorders>
          </w:tcPr>
          <w:p w:rsidR="00784B5B" w:rsidRDefault="00784B5B"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p>
        </w:tc>
      </w:tr>
      <w:tr w:rsidR="00784B5B" w:rsidTr="0071248E">
        <w:tc>
          <w:tcPr>
            <w:tcW w:w="1803" w:type="dxa"/>
            <w:tcBorders>
              <w:bottom w:val="single" w:sz="4" w:space="0" w:color="auto"/>
            </w:tcBorders>
          </w:tcPr>
          <w:p w:rsidR="00784B5B" w:rsidRDefault="00784B5B"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Sample Years</w:t>
            </w:r>
          </w:p>
        </w:tc>
        <w:tc>
          <w:tcPr>
            <w:tcW w:w="1803" w:type="dxa"/>
            <w:tcBorders>
              <w:bottom w:val="single" w:sz="4" w:space="0" w:color="auto"/>
              <w:right w:val="nil"/>
            </w:tcBorders>
          </w:tcPr>
          <w:p w:rsidR="00784B5B" w:rsidRDefault="00784B5B"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Total Entries</w:t>
            </w:r>
          </w:p>
        </w:tc>
        <w:tc>
          <w:tcPr>
            <w:tcW w:w="1918" w:type="dxa"/>
            <w:gridSpan w:val="3"/>
            <w:tcBorders>
              <w:left w:val="nil"/>
              <w:bottom w:val="single" w:sz="4" w:space="0" w:color="auto"/>
            </w:tcBorders>
          </w:tcPr>
          <w:p w:rsidR="00784B5B" w:rsidRDefault="00784B5B"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Excluded</w:t>
            </w:r>
          </w:p>
        </w:tc>
        <w:tc>
          <w:tcPr>
            <w:tcW w:w="1688" w:type="dxa"/>
            <w:tcBorders>
              <w:bottom w:val="single" w:sz="4" w:space="0" w:color="auto"/>
              <w:right w:val="single" w:sz="4" w:space="0" w:color="auto"/>
            </w:tcBorders>
          </w:tcPr>
          <w:p w:rsidR="00784B5B" w:rsidRDefault="00784B5B"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Sample Years</w:t>
            </w:r>
          </w:p>
        </w:tc>
        <w:tc>
          <w:tcPr>
            <w:tcW w:w="1804" w:type="dxa"/>
            <w:gridSpan w:val="2"/>
            <w:tcBorders>
              <w:left w:val="single" w:sz="4" w:space="0" w:color="auto"/>
              <w:bottom w:val="single" w:sz="4" w:space="0" w:color="auto"/>
            </w:tcBorders>
          </w:tcPr>
          <w:p w:rsidR="00784B5B" w:rsidRDefault="00784B5B"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Entries</w:t>
            </w:r>
          </w:p>
        </w:tc>
      </w:tr>
      <w:tr w:rsidR="00784B5B" w:rsidTr="0071248E">
        <w:tc>
          <w:tcPr>
            <w:tcW w:w="1803" w:type="dxa"/>
            <w:tcBorders>
              <w:bottom w:val="dotted" w:sz="4" w:space="0" w:color="auto"/>
            </w:tcBorders>
          </w:tcPr>
          <w:p w:rsidR="00784B5B" w:rsidRDefault="00784B5B"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1589-1592</w:t>
            </w:r>
          </w:p>
        </w:tc>
        <w:tc>
          <w:tcPr>
            <w:tcW w:w="1803" w:type="dxa"/>
            <w:tcBorders>
              <w:bottom w:val="dotted" w:sz="4" w:space="0" w:color="auto"/>
              <w:right w:val="nil"/>
            </w:tcBorders>
          </w:tcPr>
          <w:p w:rsidR="00784B5B" w:rsidRDefault="00784B5B"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24</w:t>
            </w:r>
          </w:p>
        </w:tc>
        <w:tc>
          <w:tcPr>
            <w:tcW w:w="1918" w:type="dxa"/>
            <w:gridSpan w:val="3"/>
            <w:tcBorders>
              <w:left w:val="nil"/>
              <w:bottom w:val="dotted" w:sz="4" w:space="0" w:color="auto"/>
            </w:tcBorders>
          </w:tcPr>
          <w:p w:rsidR="00784B5B" w:rsidRDefault="00CA1161"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w:t>
            </w:r>
          </w:p>
        </w:tc>
        <w:tc>
          <w:tcPr>
            <w:tcW w:w="1688" w:type="dxa"/>
            <w:tcBorders>
              <w:bottom w:val="dotted" w:sz="4" w:space="0" w:color="auto"/>
              <w:right w:val="single" w:sz="4" w:space="0" w:color="auto"/>
            </w:tcBorders>
          </w:tcPr>
          <w:p w:rsidR="00784B5B" w:rsidRDefault="00784B5B"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1589-1592</w:t>
            </w:r>
          </w:p>
        </w:tc>
        <w:tc>
          <w:tcPr>
            <w:tcW w:w="1804" w:type="dxa"/>
            <w:gridSpan w:val="2"/>
            <w:tcBorders>
              <w:left w:val="single" w:sz="4" w:space="0" w:color="auto"/>
              <w:bottom w:val="dotted" w:sz="4" w:space="0" w:color="auto"/>
            </w:tcBorders>
          </w:tcPr>
          <w:p w:rsidR="00784B5B" w:rsidRDefault="00784B5B"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24</w:t>
            </w:r>
          </w:p>
        </w:tc>
      </w:tr>
      <w:tr w:rsidR="00784B5B" w:rsidTr="0071248E">
        <w:tc>
          <w:tcPr>
            <w:tcW w:w="1803" w:type="dxa"/>
            <w:tcBorders>
              <w:top w:val="dotted" w:sz="4" w:space="0" w:color="auto"/>
              <w:bottom w:val="dotted" w:sz="4" w:space="0" w:color="auto"/>
            </w:tcBorders>
          </w:tcPr>
          <w:p w:rsidR="00784B5B" w:rsidRDefault="00784B5B"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1640-1650</w:t>
            </w:r>
          </w:p>
        </w:tc>
        <w:tc>
          <w:tcPr>
            <w:tcW w:w="1803" w:type="dxa"/>
            <w:tcBorders>
              <w:top w:val="dotted" w:sz="4" w:space="0" w:color="auto"/>
              <w:bottom w:val="dotted" w:sz="4" w:space="0" w:color="auto"/>
              <w:right w:val="nil"/>
            </w:tcBorders>
          </w:tcPr>
          <w:p w:rsidR="00784B5B" w:rsidRDefault="009E0863"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872</w:t>
            </w:r>
          </w:p>
        </w:tc>
        <w:tc>
          <w:tcPr>
            <w:tcW w:w="1918" w:type="dxa"/>
            <w:gridSpan w:val="3"/>
            <w:tcBorders>
              <w:top w:val="dotted" w:sz="4" w:space="0" w:color="auto"/>
              <w:left w:val="nil"/>
              <w:bottom w:val="dotted" w:sz="4" w:space="0" w:color="auto"/>
            </w:tcBorders>
          </w:tcPr>
          <w:p w:rsidR="00784B5B" w:rsidRDefault="00784B5B" w:rsidP="009E0863">
            <w:pPr>
              <w:pBdr>
                <w:top w:val="none" w:sz="0" w:space="0" w:color="auto"/>
                <w:left w:val="none" w:sz="0" w:space="0" w:color="auto"/>
                <w:bottom w:val="none" w:sz="0" w:space="0" w:color="auto"/>
                <w:right w:val="none" w:sz="0" w:space="0" w:color="auto"/>
                <w:between w:val="none" w:sz="0" w:space="0" w:color="auto"/>
              </w:pBdr>
              <w:spacing w:line="276" w:lineRule="auto"/>
              <w:jc w:val="center"/>
            </w:pPr>
            <w:r>
              <w:t>1</w:t>
            </w:r>
            <w:r w:rsidR="009E0863">
              <w:t>4</w:t>
            </w:r>
            <w:r w:rsidR="00BB1CC0">
              <w:t xml:space="preserve"> [no wage]</w:t>
            </w:r>
          </w:p>
        </w:tc>
        <w:tc>
          <w:tcPr>
            <w:tcW w:w="1688" w:type="dxa"/>
            <w:tcBorders>
              <w:top w:val="dotted" w:sz="4" w:space="0" w:color="auto"/>
              <w:bottom w:val="dotted" w:sz="4" w:space="0" w:color="auto"/>
              <w:right w:val="single" w:sz="4" w:space="0" w:color="auto"/>
            </w:tcBorders>
          </w:tcPr>
          <w:p w:rsidR="00784B5B" w:rsidRDefault="00784B5B"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1640-1650</w:t>
            </w:r>
          </w:p>
        </w:tc>
        <w:tc>
          <w:tcPr>
            <w:tcW w:w="1804" w:type="dxa"/>
            <w:gridSpan w:val="2"/>
            <w:tcBorders>
              <w:top w:val="dotted" w:sz="4" w:space="0" w:color="auto"/>
              <w:left w:val="single" w:sz="4" w:space="0" w:color="auto"/>
              <w:bottom w:val="dotted" w:sz="4" w:space="0" w:color="auto"/>
            </w:tcBorders>
          </w:tcPr>
          <w:p w:rsidR="00784B5B" w:rsidRDefault="009E0863"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858</w:t>
            </w:r>
          </w:p>
        </w:tc>
      </w:tr>
      <w:tr w:rsidR="00784B5B" w:rsidTr="0071248E">
        <w:tc>
          <w:tcPr>
            <w:tcW w:w="1803" w:type="dxa"/>
            <w:tcBorders>
              <w:top w:val="dotted" w:sz="4" w:space="0" w:color="auto"/>
              <w:bottom w:val="dotted" w:sz="4" w:space="0" w:color="auto"/>
            </w:tcBorders>
          </w:tcPr>
          <w:p w:rsidR="00784B5B" w:rsidRDefault="00784B5B"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1651-1662</w:t>
            </w:r>
          </w:p>
        </w:tc>
        <w:tc>
          <w:tcPr>
            <w:tcW w:w="1803" w:type="dxa"/>
            <w:tcBorders>
              <w:top w:val="dotted" w:sz="4" w:space="0" w:color="auto"/>
              <w:bottom w:val="dotted" w:sz="4" w:space="0" w:color="auto"/>
              <w:right w:val="nil"/>
            </w:tcBorders>
          </w:tcPr>
          <w:p w:rsidR="00784B5B" w:rsidRDefault="00CF3075"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347</w:t>
            </w:r>
          </w:p>
        </w:tc>
        <w:tc>
          <w:tcPr>
            <w:tcW w:w="1918" w:type="dxa"/>
            <w:gridSpan w:val="3"/>
            <w:tcBorders>
              <w:top w:val="dotted" w:sz="4" w:space="0" w:color="auto"/>
              <w:left w:val="nil"/>
              <w:bottom w:val="dotted" w:sz="4" w:space="0" w:color="auto"/>
            </w:tcBorders>
          </w:tcPr>
          <w:p w:rsidR="00784B5B" w:rsidRDefault="00784B5B"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8</w:t>
            </w:r>
            <w:r w:rsidR="00D96EA0">
              <w:t xml:space="preserve"> [no wage]</w:t>
            </w:r>
          </w:p>
        </w:tc>
        <w:tc>
          <w:tcPr>
            <w:tcW w:w="1688" w:type="dxa"/>
            <w:tcBorders>
              <w:top w:val="dotted" w:sz="4" w:space="0" w:color="auto"/>
              <w:bottom w:val="dotted" w:sz="4" w:space="0" w:color="auto"/>
              <w:right w:val="single" w:sz="4" w:space="0" w:color="auto"/>
            </w:tcBorders>
          </w:tcPr>
          <w:p w:rsidR="00784B5B" w:rsidRDefault="00784B5B"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1651-1662</w:t>
            </w:r>
          </w:p>
        </w:tc>
        <w:tc>
          <w:tcPr>
            <w:tcW w:w="1804" w:type="dxa"/>
            <w:gridSpan w:val="2"/>
            <w:tcBorders>
              <w:top w:val="dotted" w:sz="4" w:space="0" w:color="auto"/>
              <w:left w:val="single" w:sz="4" w:space="0" w:color="auto"/>
              <w:bottom w:val="dotted" w:sz="4" w:space="0" w:color="auto"/>
            </w:tcBorders>
          </w:tcPr>
          <w:p w:rsidR="00784B5B" w:rsidRDefault="00CF3075"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339</w:t>
            </w:r>
          </w:p>
        </w:tc>
      </w:tr>
      <w:tr w:rsidR="00784B5B" w:rsidTr="0071248E">
        <w:tc>
          <w:tcPr>
            <w:tcW w:w="1803" w:type="dxa"/>
            <w:tcBorders>
              <w:top w:val="dotted" w:sz="4" w:space="0" w:color="auto"/>
              <w:bottom w:val="dotted" w:sz="4" w:space="0" w:color="auto"/>
            </w:tcBorders>
          </w:tcPr>
          <w:p w:rsidR="00784B5B" w:rsidRDefault="00784B5B"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1672-1693</w:t>
            </w:r>
          </w:p>
        </w:tc>
        <w:tc>
          <w:tcPr>
            <w:tcW w:w="1803" w:type="dxa"/>
            <w:tcBorders>
              <w:top w:val="dotted" w:sz="4" w:space="0" w:color="auto"/>
              <w:bottom w:val="dotted" w:sz="4" w:space="0" w:color="auto"/>
              <w:right w:val="nil"/>
            </w:tcBorders>
          </w:tcPr>
          <w:p w:rsidR="00784B5B" w:rsidRDefault="003637FB"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574</w:t>
            </w:r>
          </w:p>
        </w:tc>
        <w:tc>
          <w:tcPr>
            <w:tcW w:w="1918" w:type="dxa"/>
            <w:gridSpan w:val="3"/>
            <w:tcBorders>
              <w:top w:val="dotted" w:sz="4" w:space="0" w:color="auto"/>
              <w:left w:val="nil"/>
              <w:bottom w:val="dotted" w:sz="4" w:space="0" w:color="auto"/>
            </w:tcBorders>
          </w:tcPr>
          <w:p w:rsidR="00784B5B" w:rsidRDefault="00784B5B"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2 [no wage]</w:t>
            </w:r>
          </w:p>
          <w:p w:rsidR="00784B5B" w:rsidRDefault="00784B5B"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lastRenderedPageBreak/>
              <w:t>47 [1670s/</w:t>
            </w:r>
            <w:r w:rsidR="0071248E">
              <w:t>16</w:t>
            </w:r>
            <w:r>
              <w:t>90s]</w:t>
            </w:r>
          </w:p>
        </w:tc>
        <w:tc>
          <w:tcPr>
            <w:tcW w:w="1688" w:type="dxa"/>
            <w:tcBorders>
              <w:top w:val="dotted" w:sz="4" w:space="0" w:color="auto"/>
              <w:bottom w:val="dotted" w:sz="4" w:space="0" w:color="auto"/>
              <w:right w:val="single" w:sz="4" w:space="0" w:color="auto"/>
            </w:tcBorders>
          </w:tcPr>
          <w:p w:rsidR="00784B5B" w:rsidRDefault="00784B5B"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lastRenderedPageBreak/>
              <w:t>1680-1690</w:t>
            </w:r>
          </w:p>
        </w:tc>
        <w:tc>
          <w:tcPr>
            <w:tcW w:w="1804" w:type="dxa"/>
            <w:gridSpan w:val="2"/>
            <w:tcBorders>
              <w:top w:val="dotted" w:sz="4" w:space="0" w:color="auto"/>
              <w:left w:val="single" w:sz="4" w:space="0" w:color="auto"/>
              <w:bottom w:val="dotted" w:sz="4" w:space="0" w:color="auto"/>
            </w:tcBorders>
          </w:tcPr>
          <w:p w:rsidR="00784B5B" w:rsidRDefault="003637FB"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525</w:t>
            </w:r>
          </w:p>
        </w:tc>
      </w:tr>
      <w:tr w:rsidR="00784B5B" w:rsidTr="0071248E">
        <w:tc>
          <w:tcPr>
            <w:tcW w:w="1803" w:type="dxa"/>
            <w:tcBorders>
              <w:top w:val="dotted" w:sz="4" w:space="0" w:color="auto"/>
            </w:tcBorders>
          </w:tcPr>
          <w:p w:rsidR="00784B5B" w:rsidRDefault="00784B5B"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lastRenderedPageBreak/>
              <w:t>Total</w:t>
            </w:r>
          </w:p>
        </w:tc>
        <w:tc>
          <w:tcPr>
            <w:tcW w:w="1803" w:type="dxa"/>
            <w:tcBorders>
              <w:top w:val="dotted" w:sz="4" w:space="0" w:color="auto"/>
              <w:right w:val="nil"/>
            </w:tcBorders>
          </w:tcPr>
          <w:p w:rsidR="00784B5B" w:rsidRDefault="003637FB"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1817</w:t>
            </w:r>
          </w:p>
        </w:tc>
        <w:tc>
          <w:tcPr>
            <w:tcW w:w="1918" w:type="dxa"/>
            <w:gridSpan w:val="3"/>
            <w:tcBorders>
              <w:top w:val="dotted" w:sz="4" w:space="0" w:color="auto"/>
              <w:left w:val="nil"/>
            </w:tcBorders>
          </w:tcPr>
          <w:p w:rsidR="00784B5B" w:rsidRDefault="003637FB"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71</w:t>
            </w:r>
          </w:p>
        </w:tc>
        <w:tc>
          <w:tcPr>
            <w:tcW w:w="1688" w:type="dxa"/>
            <w:tcBorders>
              <w:top w:val="dotted" w:sz="4" w:space="0" w:color="auto"/>
              <w:right w:val="single" w:sz="4" w:space="0" w:color="auto"/>
            </w:tcBorders>
          </w:tcPr>
          <w:p w:rsidR="00784B5B" w:rsidRDefault="00784B5B"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Total</w:t>
            </w:r>
          </w:p>
        </w:tc>
        <w:tc>
          <w:tcPr>
            <w:tcW w:w="1804" w:type="dxa"/>
            <w:gridSpan w:val="2"/>
            <w:tcBorders>
              <w:top w:val="dotted" w:sz="4" w:space="0" w:color="auto"/>
              <w:left w:val="single" w:sz="4" w:space="0" w:color="auto"/>
            </w:tcBorders>
          </w:tcPr>
          <w:p w:rsidR="00784B5B" w:rsidRDefault="003637FB"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1746</w:t>
            </w:r>
          </w:p>
        </w:tc>
      </w:tr>
    </w:tbl>
    <w:p w:rsidR="00772F13" w:rsidRPr="005A045D" w:rsidRDefault="005A54BA" w:rsidP="00080E50">
      <w:pPr>
        <w:spacing w:line="360" w:lineRule="auto"/>
        <w:ind w:firstLine="720"/>
        <w:jc w:val="both"/>
      </w:pPr>
      <w:r>
        <w:t>Th</w:t>
      </w:r>
      <w:r w:rsidR="004C6BD8" w:rsidRPr="005A045D">
        <w:t>e data</w:t>
      </w:r>
      <w:r w:rsidR="00760495">
        <w:t xml:space="preserve"> presented in the </w:t>
      </w:r>
      <w:r w:rsidR="00760495">
        <w:rPr>
          <w:b/>
        </w:rPr>
        <w:t xml:space="preserve">Wage (s) </w:t>
      </w:r>
      <w:r w:rsidR="00760495">
        <w:t>field</w:t>
      </w:r>
      <w:r w:rsidR="004C6BD8" w:rsidRPr="005A045D">
        <w:t xml:space="preserve"> is </w:t>
      </w:r>
      <w:r w:rsidR="00CC0053">
        <w:t>confined</w:t>
      </w:r>
      <w:r w:rsidR="004C6BD8" w:rsidRPr="005A045D">
        <w:t xml:space="preserve"> to monthly wages, the most common form of payment in mercha</w:t>
      </w:r>
      <w:r w:rsidR="006F3245" w:rsidRPr="005A045D">
        <w:t>nt shipping</w:t>
      </w:r>
      <w:r w:rsidR="0047021E">
        <w:t>, although by no means the only pay arrangemen</w:t>
      </w:r>
      <w:r w:rsidR="00857B18">
        <w:t>t, and often only part of a seafarer’s income</w:t>
      </w:r>
      <w:r w:rsidR="00E60DBD">
        <w:t>.</w:t>
      </w:r>
      <w:r w:rsidR="005C3145">
        <w:rPr>
          <w:rStyle w:val="FootnoteReference"/>
        </w:rPr>
        <w:footnoteReference w:id="20"/>
      </w:r>
      <w:r w:rsidR="0083737E">
        <w:t xml:space="preserve"> There are 1</w:t>
      </w:r>
      <w:r w:rsidR="004C2601">
        <w:t>1</w:t>
      </w:r>
      <w:r w:rsidR="0083737E">
        <w:t xml:space="preserve"> entries </w:t>
      </w:r>
      <w:r w:rsidR="001D0980">
        <w:t xml:space="preserve">(0.6 per cent of the dataset) </w:t>
      </w:r>
      <w:r w:rsidR="0083737E">
        <w:t>which list wages due to an individual seafarer and their servant or mate (see below, ‘Categories</w:t>
      </w:r>
      <w:r w:rsidR="003F25D3">
        <w:t>’</w:t>
      </w:r>
      <w:r w:rsidR="0083737E">
        <w:t>)</w:t>
      </w:r>
      <w:r w:rsidR="00886055">
        <w:t>; these presumably indicate</w:t>
      </w:r>
      <w:r w:rsidR="00202C44">
        <w:t xml:space="preserve"> higher wages than that</w:t>
      </w:r>
      <w:r w:rsidR="0083737E">
        <w:t xml:space="preserve"> individual could </w:t>
      </w:r>
      <w:r w:rsidR="00DA0A39">
        <w:t xml:space="preserve">have </w:t>
      </w:r>
      <w:r w:rsidR="0083737E">
        <w:t>claim</w:t>
      </w:r>
      <w:r w:rsidR="00DA0A39">
        <w:t>ed</w:t>
      </w:r>
      <w:r w:rsidR="0083737E">
        <w:t xml:space="preserve"> by themselves.</w:t>
      </w:r>
      <w:r w:rsidR="004C2601">
        <w:rPr>
          <w:rStyle w:val="FootnoteReference"/>
        </w:rPr>
        <w:footnoteReference w:id="21"/>
      </w:r>
      <w:r w:rsidR="0083737E">
        <w:t xml:space="preserve"> A further </w:t>
      </w:r>
      <w:r w:rsidR="00474EBD">
        <w:t>39</w:t>
      </w:r>
      <w:r w:rsidR="00E60DBD">
        <w:t xml:space="preserve"> entries (2.</w:t>
      </w:r>
      <w:r w:rsidR="005B150F">
        <w:t>2</w:t>
      </w:r>
      <w:r w:rsidR="00E60DBD">
        <w:t xml:space="preserve"> per</w:t>
      </w:r>
      <w:r w:rsidR="002D7A89">
        <w:t xml:space="preserve"> </w:t>
      </w:r>
      <w:r w:rsidR="00E60DBD">
        <w:t>cent) represent estimates, either</w:t>
      </w:r>
      <w:r w:rsidR="001879AF">
        <w:t xml:space="preserve"> because the plaintiff  claimed</w:t>
      </w:r>
      <w:r w:rsidR="00E60DBD">
        <w:t xml:space="preserve"> a lump sum </w:t>
      </w:r>
      <w:r w:rsidR="001879AF">
        <w:t>(which has been</w:t>
      </w:r>
      <w:r w:rsidR="001D36B1">
        <w:t xml:space="preserve"> </w:t>
      </w:r>
      <w:r w:rsidR="00E60DBD">
        <w:t>divided by time served</w:t>
      </w:r>
      <w:r w:rsidR="00BE44B7">
        <w:t xml:space="preserve"> to calculate the monthly equivalent</w:t>
      </w:r>
      <w:r w:rsidR="001D36B1">
        <w:t>)</w:t>
      </w:r>
      <w:r w:rsidR="00E60DBD">
        <w:t>, or because the pla</w:t>
      </w:r>
      <w:r w:rsidR="004D01DF">
        <w:t>intiff had been hired in a foreign</w:t>
      </w:r>
      <w:r w:rsidR="00E60DBD">
        <w:t xml:space="preserve"> currency, in which case their own suggested conversion rate was used (see below</w:t>
      </w:r>
      <w:r w:rsidR="00AF211A">
        <w:t>, ‘Currencies and Conversion Rates’</w:t>
      </w:r>
      <w:r w:rsidR="00E60DBD">
        <w:t>).</w:t>
      </w:r>
      <w:r w:rsidR="00BC3B51">
        <w:rPr>
          <w:rStyle w:val="FootnoteReference"/>
        </w:rPr>
        <w:footnoteReference w:id="22"/>
      </w:r>
      <w:r w:rsidR="00E60DBD">
        <w:t xml:space="preserve"> </w:t>
      </w:r>
    </w:p>
    <w:p w:rsidR="00561D4E" w:rsidRPr="000C081E" w:rsidRDefault="00247E81" w:rsidP="000C081E">
      <w:pPr>
        <w:spacing w:line="360" w:lineRule="auto"/>
        <w:ind w:firstLine="720"/>
        <w:jc w:val="both"/>
      </w:pPr>
      <w:r>
        <w:rPr>
          <w:color w:val="000000" w:themeColor="text1"/>
        </w:rPr>
        <w:t>In the</w:t>
      </w:r>
      <w:r w:rsidR="003E356D">
        <w:rPr>
          <w:color w:val="000000" w:themeColor="text1"/>
        </w:rPr>
        <w:t xml:space="preserve"> dataset </w:t>
      </w:r>
      <w:r>
        <w:rPr>
          <w:color w:val="000000" w:themeColor="text1"/>
        </w:rPr>
        <w:t>the</w:t>
      </w:r>
      <w:r w:rsidR="007C3FEA">
        <w:rPr>
          <w:color w:val="000000" w:themeColor="text1"/>
        </w:rPr>
        <w:t xml:space="preserve"> </w:t>
      </w:r>
      <w:r w:rsidR="00C57AF8">
        <w:rPr>
          <w:color w:val="000000" w:themeColor="text1"/>
        </w:rPr>
        <w:t>entries have been grouped</w:t>
      </w:r>
      <w:r w:rsidR="0000347A">
        <w:rPr>
          <w:color w:val="000000" w:themeColor="text1"/>
        </w:rPr>
        <w:t xml:space="preserve"> and assigned </w:t>
      </w:r>
      <w:r w:rsidR="0000347A">
        <w:rPr>
          <w:b/>
          <w:color w:val="000000" w:themeColor="text1"/>
        </w:rPr>
        <w:t xml:space="preserve">ID </w:t>
      </w:r>
      <w:r w:rsidR="0000347A">
        <w:rPr>
          <w:color w:val="000000" w:themeColor="text1"/>
        </w:rPr>
        <w:t xml:space="preserve">numbers according to </w:t>
      </w:r>
      <w:r w:rsidR="006B193F">
        <w:rPr>
          <w:color w:val="000000" w:themeColor="text1"/>
        </w:rPr>
        <w:t xml:space="preserve">their </w:t>
      </w:r>
      <w:r w:rsidR="00C57AF8">
        <w:rPr>
          <w:color w:val="000000" w:themeColor="text1"/>
        </w:rPr>
        <w:t xml:space="preserve">voyage, with the </w:t>
      </w:r>
      <w:r w:rsidR="007C3FEA">
        <w:rPr>
          <w:color w:val="000000" w:themeColor="text1"/>
        </w:rPr>
        <w:t>voyages arranged in chronological order</w:t>
      </w:r>
      <w:r w:rsidR="00C57AF8">
        <w:rPr>
          <w:color w:val="000000" w:themeColor="text1"/>
        </w:rPr>
        <w:t xml:space="preserve"> </w:t>
      </w:r>
      <w:r w:rsidR="003453C8">
        <w:rPr>
          <w:color w:val="000000" w:themeColor="text1"/>
        </w:rPr>
        <w:t>as far as possible</w:t>
      </w:r>
      <w:r w:rsidR="00C92803">
        <w:rPr>
          <w:color w:val="000000" w:themeColor="text1"/>
        </w:rPr>
        <w:t xml:space="preserve">, and each entry dated by the </w:t>
      </w:r>
      <w:r w:rsidR="00C92803">
        <w:rPr>
          <w:b/>
          <w:color w:val="000000" w:themeColor="text1"/>
        </w:rPr>
        <w:t xml:space="preserve">Year </w:t>
      </w:r>
      <w:r w:rsidR="00C92803">
        <w:rPr>
          <w:color w:val="000000" w:themeColor="text1"/>
        </w:rPr>
        <w:t>field</w:t>
      </w:r>
      <w:r w:rsidR="00C57AF8">
        <w:rPr>
          <w:color w:val="000000" w:themeColor="text1"/>
        </w:rPr>
        <w:t>.</w:t>
      </w:r>
      <w:r w:rsidR="00C92803">
        <w:rPr>
          <w:color w:val="000000" w:themeColor="text1"/>
        </w:rPr>
        <w:t xml:space="preserve"> T</w:t>
      </w:r>
      <w:r w:rsidR="007C3FEA">
        <w:rPr>
          <w:color w:val="000000" w:themeColor="text1"/>
        </w:rPr>
        <w:t>he</w:t>
      </w:r>
      <w:r>
        <w:rPr>
          <w:color w:val="000000" w:themeColor="text1"/>
        </w:rPr>
        <w:t xml:space="preserve"> </w:t>
      </w:r>
      <w:r w:rsidR="00636187">
        <w:rPr>
          <w:color w:val="000000" w:themeColor="text1"/>
        </w:rPr>
        <w:t xml:space="preserve">specific </w:t>
      </w:r>
      <w:r>
        <w:rPr>
          <w:color w:val="000000" w:themeColor="text1"/>
        </w:rPr>
        <w:t xml:space="preserve">dates of individuals’ contracts have </w:t>
      </w:r>
      <w:r w:rsidR="00C92803">
        <w:rPr>
          <w:color w:val="000000" w:themeColor="text1"/>
        </w:rPr>
        <w:t xml:space="preserve">also </w:t>
      </w:r>
      <w:r>
        <w:rPr>
          <w:color w:val="000000" w:themeColor="text1"/>
        </w:rPr>
        <w:t>b</w:t>
      </w:r>
      <w:r w:rsidR="00E93B62">
        <w:rPr>
          <w:color w:val="000000" w:themeColor="text1"/>
        </w:rPr>
        <w:t>een given</w:t>
      </w:r>
      <w:r w:rsidR="00F1578F">
        <w:rPr>
          <w:color w:val="000000" w:themeColor="text1"/>
        </w:rPr>
        <w:t>,</w:t>
      </w:r>
      <w:r w:rsidR="00E93B62">
        <w:rPr>
          <w:color w:val="000000" w:themeColor="text1"/>
        </w:rPr>
        <w:t xml:space="preserve"> where these are recor</w:t>
      </w:r>
      <w:r w:rsidR="00861A36">
        <w:rPr>
          <w:color w:val="000000" w:themeColor="text1"/>
        </w:rPr>
        <w:t>ded</w:t>
      </w:r>
      <w:r w:rsidR="00F1578F">
        <w:rPr>
          <w:color w:val="000000" w:themeColor="text1"/>
        </w:rPr>
        <w:t xml:space="preserve">, in the </w:t>
      </w:r>
      <w:r w:rsidR="00F1578F">
        <w:rPr>
          <w:b/>
          <w:color w:val="000000" w:themeColor="text1"/>
        </w:rPr>
        <w:t xml:space="preserve">Entered pay </w:t>
      </w:r>
      <w:r w:rsidR="00F1578F">
        <w:rPr>
          <w:color w:val="000000" w:themeColor="text1"/>
        </w:rPr>
        <w:t xml:space="preserve">and </w:t>
      </w:r>
      <w:r w:rsidR="00F1578F">
        <w:rPr>
          <w:b/>
          <w:color w:val="000000" w:themeColor="text1"/>
        </w:rPr>
        <w:t xml:space="preserve">Served until </w:t>
      </w:r>
      <w:r w:rsidR="00F1578F">
        <w:rPr>
          <w:color w:val="000000" w:themeColor="text1"/>
        </w:rPr>
        <w:t>fields</w:t>
      </w:r>
      <w:r w:rsidR="00F464E7">
        <w:rPr>
          <w:color w:val="000000" w:themeColor="text1"/>
        </w:rPr>
        <w:t xml:space="preserve">, but the entries are arranged by the </w:t>
      </w:r>
      <w:r w:rsidR="00884FC7">
        <w:rPr>
          <w:color w:val="000000" w:themeColor="text1"/>
        </w:rPr>
        <w:t>series of</w:t>
      </w:r>
      <w:r w:rsidR="00F464E7">
        <w:rPr>
          <w:color w:val="000000" w:themeColor="text1"/>
        </w:rPr>
        <w:t xml:space="preserve"> voyage</w:t>
      </w:r>
      <w:r w:rsidR="00EE6526">
        <w:rPr>
          <w:color w:val="000000" w:themeColor="text1"/>
        </w:rPr>
        <w:t>s</w:t>
      </w:r>
      <w:r w:rsidR="00F464E7">
        <w:rPr>
          <w:color w:val="000000" w:themeColor="text1"/>
        </w:rPr>
        <w:t>, not of individual contracts</w:t>
      </w:r>
      <w:r w:rsidR="00861A36">
        <w:rPr>
          <w:color w:val="000000" w:themeColor="text1"/>
        </w:rPr>
        <w:t>.</w:t>
      </w:r>
      <w:r w:rsidR="00F464E7">
        <w:rPr>
          <w:color w:val="000000" w:themeColor="text1"/>
        </w:rPr>
        <w:t xml:space="preserve"> </w:t>
      </w:r>
      <w:r w:rsidR="003B7F53">
        <w:rPr>
          <w:color w:val="000000" w:themeColor="text1"/>
        </w:rPr>
        <w:t>Just under two thirds of the entries give a date for hiring or discharge</w:t>
      </w:r>
      <w:r w:rsidR="00162547">
        <w:rPr>
          <w:color w:val="000000" w:themeColor="text1"/>
        </w:rPr>
        <w:t>, and</w:t>
      </w:r>
      <w:r w:rsidR="003B7F53">
        <w:rPr>
          <w:color w:val="000000" w:themeColor="text1"/>
        </w:rPr>
        <w:t xml:space="preserve"> </w:t>
      </w:r>
      <w:r w:rsidR="003B7F53" w:rsidRPr="008435AD">
        <w:t>92.</w:t>
      </w:r>
      <w:r w:rsidR="003B7F53">
        <w:t>9</w:t>
      </w:r>
      <w:r w:rsidR="003B7F53" w:rsidRPr="008435AD">
        <w:t xml:space="preserve"> per cent </w:t>
      </w:r>
      <w:r w:rsidR="003B7F53">
        <w:rPr>
          <w:color w:val="000000" w:themeColor="text1"/>
        </w:rPr>
        <w:t xml:space="preserve">of these dated entries </w:t>
      </w:r>
      <w:r w:rsidR="003B7F53">
        <w:t>are recorded under</w:t>
      </w:r>
      <w:r w:rsidR="003B7F53" w:rsidRPr="008435AD">
        <w:t xml:space="preserve"> the same year as their voyage began,</w:t>
      </w:r>
      <w:r w:rsidR="003B7F53">
        <w:t xml:space="preserve"> </w:t>
      </w:r>
      <w:r w:rsidR="006F030C">
        <w:t xml:space="preserve">with </w:t>
      </w:r>
      <w:r w:rsidR="003B7F53">
        <w:t xml:space="preserve">the </w:t>
      </w:r>
      <w:r w:rsidR="003B7F53">
        <w:rPr>
          <w:color w:val="000000" w:themeColor="text1"/>
        </w:rPr>
        <w:t>sources disagree</w:t>
      </w:r>
      <w:r w:rsidR="006F030C">
        <w:rPr>
          <w:color w:val="000000" w:themeColor="text1"/>
        </w:rPr>
        <w:t>ing</w:t>
      </w:r>
      <w:r w:rsidR="003B7F53">
        <w:rPr>
          <w:color w:val="000000" w:themeColor="text1"/>
        </w:rPr>
        <w:t xml:space="preserve"> over dates for hiring or discharge</w:t>
      </w:r>
      <w:r w:rsidR="003B7F53" w:rsidRPr="00456B1B">
        <w:t xml:space="preserve"> </w:t>
      </w:r>
      <w:r w:rsidR="003B7F53">
        <w:t>in</w:t>
      </w:r>
      <w:r w:rsidR="003B7F53" w:rsidRPr="008435AD">
        <w:t xml:space="preserve"> </w:t>
      </w:r>
      <w:r w:rsidR="003B7F53">
        <w:rPr>
          <w:color w:val="000000" w:themeColor="text1"/>
        </w:rPr>
        <w:t>only 22 entries.</w:t>
      </w:r>
      <w:r w:rsidR="003B7F53">
        <w:rPr>
          <w:rStyle w:val="FootnoteReference"/>
          <w:color w:val="000000" w:themeColor="text1"/>
        </w:rPr>
        <w:footnoteReference w:id="23"/>
      </w:r>
      <w:r w:rsidR="003B7F53">
        <w:rPr>
          <w:color w:val="000000" w:themeColor="text1"/>
        </w:rPr>
        <w:t xml:space="preserve"> The remaining</w:t>
      </w:r>
      <w:r w:rsidR="00DC5951">
        <w:rPr>
          <w:color w:val="000000" w:themeColor="text1"/>
        </w:rPr>
        <w:t xml:space="preserve"> 78 </w:t>
      </w:r>
      <w:r w:rsidR="003B7F53">
        <w:rPr>
          <w:color w:val="000000" w:themeColor="text1"/>
        </w:rPr>
        <w:t xml:space="preserve">dated </w:t>
      </w:r>
      <w:r w:rsidR="00DC5951">
        <w:rPr>
          <w:color w:val="000000" w:themeColor="text1"/>
        </w:rPr>
        <w:t>entries, representing seafarers hired during the later stages of a voyage</w:t>
      </w:r>
      <w:r w:rsidR="00CA3F62">
        <w:rPr>
          <w:color w:val="000000" w:themeColor="text1"/>
        </w:rPr>
        <w:t>,</w:t>
      </w:r>
      <w:r w:rsidR="00DC5951">
        <w:rPr>
          <w:color w:val="000000" w:themeColor="text1"/>
        </w:rPr>
        <w:t xml:space="preserve"> are out of chronological sequence (according to the </w:t>
      </w:r>
      <w:r w:rsidR="00DC5951">
        <w:rPr>
          <w:b/>
          <w:color w:val="000000" w:themeColor="text1"/>
        </w:rPr>
        <w:t xml:space="preserve">Year </w:t>
      </w:r>
      <w:r w:rsidR="00DC5951">
        <w:rPr>
          <w:color w:val="000000" w:themeColor="text1"/>
        </w:rPr>
        <w:t>field) but are grouped with their shipmates</w:t>
      </w:r>
      <w:r w:rsidR="00CA3F62">
        <w:rPr>
          <w:color w:val="000000" w:themeColor="text1"/>
        </w:rPr>
        <w:t xml:space="preserve">, and </w:t>
      </w:r>
      <w:r w:rsidR="00DE67F9">
        <w:rPr>
          <w:color w:val="000000" w:themeColor="text1"/>
        </w:rPr>
        <w:t>make up</w:t>
      </w:r>
      <w:r w:rsidR="00CA3F62">
        <w:rPr>
          <w:color w:val="000000" w:themeColor="text1"/>
        </w:rPr>
        <w:t xml:space="preserve"> only </w:t>
      </w:r>
      <w:r w:rsidR="00E31115">
        <w:rPr>
          <w:color w:val="000000" w:themeColor="text1"/>
        </w:rPr>
        <w:t>7.1 per cent of the dated entries</w:t>
      </w:r>
      <w:r w:rsidR="00DC5951">
        <w:rPr>
          <w:color w:val="000000" w:themeColor="text1"/>
        </w:rPr>
        <w:t>.</w:t>
      </w:r>
      <w:r w:rsidR="00DC5951">
        <w:rPr>
          <w:rStyle w:val="FootnoteReference"/>
          <w:color w:val="000000" w:themeColor="text1"/>
        </w:rPr>
        <w:footnoteReference w:id="24"/>
      </w:r>
      <w:r w:rsidR="00DC5951">
        <w:rPr>
          <w:color w:val="000000" w:themeColor="text1"/>
        </w:rPr>
        <w:t xml:space="preserve"> </w:t>
      </w:r>
      <w:r w:rsidR="00561D4E">
        <w:rPr>
          <w:color w:val="000000" w:themeColor="text1"/>
        </w:rPr>
        <w:t xml:space="preserve">This </w:t>
      </w:r>
      <w:r w:rsidR="008622F1">
        <w:rPr>
          <w:color w:val="000000" w:themeColor="text1"/>
        </w:rPr>
        <w:t>suggests that the major</w:t>
      </w:r>
      <w:r w:rsidR="00524170">
        <w:rPr>
          <w:color w:val="000000" w:themeColor="text1"/>
        </w:rPr>
        <w:t xml:space="preserve">ity of wage contracts were agreed </w:t>
      </w:r>
      <w:r w:rsidR="008622F1">
        <w:rPr>
          <w:color w:val="000000" w:themeColor="text1"/>
        </w:rPr>
        <w:t>at the beginning of a voyage, making</w:t>
      </w:r>
      <w:r w:rsidR="00561D4E">
        <w:rPr>
          <w:color w:val="000000" w:themeColor="text1"/>
        </w:rPr>
        <w:t xml:space="preserve"> it reasonable to assign all undated entries</w:t>
      </w:r>
      <w:r w:rsidR="00E6014D">
        <w:rPr>
          <w:color w:val="000000" w:themeColor="text1"/>
        </w:rPr>
        <w:t xml:space="preserve"> </w:t>
      </w:r>
      <w:r w:rsidR="00861A36">
        <w:rPr>
          <w:color w:val="000000" w:themeColor="text1"/>
        </w:rPr>
        <w:t>to the start dat</w:t>
      </w:r>
      <w:r w:rsidR="00561D4E">
        <w:rPr>
          <w:color w:val="000000" w:themeColor="text1"/>
        </w:rPr>
        <w:t>e of their corresponding voyage.</w:t>
      </w:r>
      <w:r w:rsidR="00E6014D">
        <w:rPr>
          <w:color w:val="000000" w:themeColor="text1"/>
        </w:rPr>
        <w:t xml:space="preserve"> </w:t>
      </w:r>
    </w:p>
    <w:p w:rsidR="008A63B8" w:rsidRDefault="002F48FE" w:rsidP="00080E50">
      <w:pPr>
        <w:spacing w:line="360" w:lineRule="auto"/>
        <w:ind w:firstLine="720"/>
        <w:jc w:val="both"/>
      </w:pPr>
      <w:r>
        <w:t>For</w:t>
      </w:r>
      <w:r w:rsidR="000F182E">
        <w:t xml:space="preserve"> the datable</w:t>
      </w:r>
      <w:r w:rsidR="007A62E4">
        <w:t xml:space="preserve"> voyages, o</w:t>
      </w:r>
      <w:r w:rsidR="00AF0E09">
        <w:t>nly 18</w:t>
      </w:r>
      <w:r w:rsidR="001A4940">
        <w:t xml:space="preserve"> </w:t>
      </w:r>
      <w:r w:rsidR="00761956">
        <w:t xml:space="preserve">lawsuits </w:t>
      </w:r>
      <w:r w:rsidR="001A4940">
        <w:t xml:space="preserve">took place in the </w:t>
      </w:r>
      <w:r w:rsidR="00AF0E09">
        <w:t xml:space="preserve">same calendar year in which </w:t>
      </w:r>
      <w:r w:rsidR="001A4940">
        <w:t xml:space="preserve">their voyage began; for </w:t>
      </w:r>
      <w:r w:rsidR="00AF0E09">
        <w:t>71</w:t>
      </w:r>
      <w:r w:rsidR="001A4940">
        <w:t xml:space="preserve"> voyages </w:t>
      </w:r>
      <w:r w:rsidR="00A8299A">
        <w:t>the case occurred</w:t>
      </w:r>
      <w:r w:rsidR="001A4940">
        <w:t xml:space="preserve"> </w:t>
      </w:r>
      <w:r w:rsidR="00AF0E09">
        <w:t xml:space="preserve">during </w:t>
      </w:r>
      <w:r w:rsidR="00D45258">
        <w:t>the next</w:t>
      </w:r>
      <w:r w:rsidR="001A4940">
        <w:t xml:space="preserve"> calendar year, </w:t>
      </w:r>
      <w:r w:rsidR="001A4940">
        <w:lastRenderedPageBreak/>
        <w:t xml:space="preserve">for </w:t>
      </w:r>
      <w:r w:rsidR="00AF0E09">
        <w:t xml:space="preserve">51 </w:t>
      </w:r>
      <w:r w:rsidR="001A4940">
        <w:t>voyages</w:t>
      </w:r>
      <w:r w:rsidR="00AF0E09">
        <w:t xml:space="preserve"> it was</w:t>
      </w:r>
      <w:r w:rsidR="001A0BD6">
        <w:t xml:space="preserve"> 2</w:t>
      </w:r>
      <w:r w:rsidR="001A4940">
        <w:t xml:space="preserve"> years </w:t>
      </w:r>
      <w:r w:rsidR="00AF0E09">
        <w:t xml:space="preserve">later, </w:t>
      </w:r>
      <w:r w:rsidR="001A0BD6">
        <w:t>and for 39 voyages it was 3</w:t>
      </w:r>
      <w:r w:rsidR="006E1FBB">
        <w:t xml:space="preserve"> years or more</w:t>
      </w:r>
      <w:r w:rsidR="001220BA">
        <w:t>. T</w:t>
      </w:r>
      <w:r w:rsidR="006E1FBB">
        <w:t xml:space="preserve">he maximum </w:t>
      </w:r>
      <w:r w:rsidR="0028739D">
        <w:t>time elapsed between a voyage starting and a subsequent court case</w:t>
      </w:r>
      <w:r w:rsidR="00876DD4">
        <w:t xml:space="preserve"> was 12</w:t>
      </w:r>
      <w:r w:rsidR="006E1FBB">
        <w:t xml:space="preserve"> years.</w:t>
      </w:r>
      <w:r w:rsidR="00544B9B">
        <w:t xml:space="preserve"> Given tha</w:t>
      </w:r>
      <w:r w:rsidR="00924FAB">
        <w:t>t the length of voyages varied considerably</w:t>
      </w:r>
      <w:r w:rsidR="007B24B6">
        <w:t>, and that</w:t>
      </w:r>
      <w:r w:rsidR="00544B9B">
        <w:t xml:space="preserve"> court case</w:t>
      </w:r>
      <w:r w:rsidR="007B24B6">
        <w:t>s</w:t>
      </w:r>
      <w:r w:rsidR="00544B9B">
        <w:t xml:space="preserve"> usually occurred only after previous negotiations between parties had failed, it is entirely predictable that lawsuits rarely </w:t>
      </w:r>
      <w:r w:rsidR="00CD5247">
        <w:t>occurr</w:t>
      </w:r>
      <w:r w:rsidR="004C3908">
        <w:t>ed</w:t>
      </w:r>
      <w:r w:rsidR="00EA5F43">
        <w:t xml:space="preserve"> in</w:t>
      </w:r>
      <w:r w:rsidR="004C3908">
        <w:t xml:space="preserve"> the same year that the</w:t>
      </w:r>
      <w:r w:rsidR="00544B9B">
        <w:t xml:space="preserve"> voyage bega</w:t>
      </w:r>
      <w:r w:rsidR="004C3908">
        <w:t>n, or even</w:t>
      </w:r>
      <w:r w:rsidR="006A6600">
        <w:t xml:space="preserve"> in</w:t>
      </w:r>
      <w:r w:rsidR="004C3908">
        <w:t xml:space="preserve"> the same year that the </w:t>
      </w:r>
      <w:r w:rsidR="00544B9B">
        <w:t>voyage ended.</w:t>
      </w:r>
      <w:r w:rsidR="00287777">
        <w:t xml:space="preserve"> </w:t>
      </w:r>
      <w:r w:rsidR="000D47C4">
        <w:t xml:space="preserve">However, </w:t>
      </w:r>
      <w:r w:rsidR="00005CFD">
        <w:t>as it</w:t>
      </w:r>
      <w:r w:rsidR="000D47C4" w:rsidRPr="005A045D">
        <w:t xml:space="preserve"> is impossible to estimate the distance in time between the start of a voyage and an eventual court case with any degree of consistency</w:t>
      </w:r>
      <w:r w:rsidR="00D51596">
        <w:t>,</w:t>
      </w:r>
      <w:r w:rsidR="008A63B8">
        <w:t xml:space="preserve"> </w:t>
      </w:r>
      <w:r w:rsidR="005D7BCA">
        <w:t xml:space="preserve">the 18.1 </w:t>
      </w:r>
      <w:r w:rsidR="008A63B8" w:rsidRPr="00B50003">
        <w:t xml:space="preserve">per cent of voyages (accounting for 20.1 per cent of entries) </w:t>
      </w:r>
      <w:r w:rsidR="005D7BCA">
        <w:t xml:space="preserve">for which </w:t>
      </w:r>
      <w:r w:rsidR="008A63B8" w:rsidRPr="005A045D">
        <w:t>the evidence supplied no</w:t>
      </w:r>
      <w:r w:rsidR="008A63B8">
        <w:t xml:space="preserve"> </w:t>
      </w:r>
      <w:r w:rsidR="008A63B8" w:rsidRPr="005A045D">
        <w:t>dates at all</w:t>
      </w:r>
      <w:r w:rsidR="005D7BCA">
        <w:t xml:space="preserve"> have not been given a conjectural date, but have been assigned the date of the source</w:t>
      </w:r>
      <w:r w:rsidR="00B24373">
        <w:t xml:space="preserve"> material</w:t>
      </w:r>
      <w:r w:rsidR="005D7BCA">
        <w:t xml:space="preserve">. </w:t>
      </w:r>
    </w:p>
    <w:p w:rsidR="00C65E36" w:rsidRDefault="005C7646" w:rsidP="00080E50">
      <w:pPr>
        <w:spacing w:line="360" w:lineRule="auto"/>
        <w:ind w:firstLine="720"/>
        <w:jc w:val="both"/>
      </w:pPr>
      <w:r w:rsidRPr="005A045D">
        <w:t xml:space="preserve">A further </w:t>
      </w:r>
      <w:r w:rsidR="00F23D20">
        <w:t xml:space="preserve">potential </w:t>
      </w:r>
      <w:r w:rsidRPr="005A045D">
        <w:t xml:space="preserve">difficulty in these documents, especially when subjecting them to statistical analysis, </w:t>
      </w:r>
      <w:r w:rsidR="00EE45D0">
        <w:t xml:space="preserve">occurs with </w:t>
      </w:r>
      <w:r w:rsidRPr="005A045D">
        <w:t xml:space="preserve">those cases in which some aspect of the wages were contested by the parties in the suit, </w:t>
      </w:r>
      <w:r w:rsidR="009357A3">
        <w:t>for example</w:t>
      </w:r>
      <w:r w:rsidR="00590237">
        <w:t xml:space="preserve"> </w:t>
      </w:r>
      <w:r w:rsidRPr="005A045D">
        <w:t xml:space="preserve">their amount, the means of payment, who should pay, or whether they were due at all. In one extreme example, concerning the voyage of the </w:t>
      </w:r>
      <w:r w:rsidRPr="005A045D">
        <w:rPr>
          <w:i/>
        </w:rPr>
        <w:t>Sunn</w:t>
      </w:r>
      <w:r w:rsidRPr="005A045D">
        <w:t xml:space="preserve"> </w:t>
      </w:r>
      <w:r w:rsidR="00F8024C">
        <w:t>(</w:t>
      </w:r>
      <w:r w:rsidR="00F8024C">
        <w:rPr>
          <w:b/>
        </w:rPr>
        <w:t xml:space="preserve">Vge no </w:t>
      </w:r>
      <w:r w:rsidR="00F8024C">
        <w:t xml:space="preserve">26) </w:t>
      </w:r>
      <w:r w:rsidRPr="005A045D">
        <w:t xml:space="preserve">to the Indian Ocean in 1644-7, one schedule </w:t>
      </w:r>
      <w:r w:rsidR="00776B65">
        <w:t xml:space="preserve">of wages </w:t>
      </w:r>
      <w:r w:rsidRPr="005A045D">
        <w:t>was submitted by the plaintiffs, the master Thomas Spencer gave another in his answer to them, and two more</w:t>
      </w:r>
      <w:r w:rsidR="006F503E">
        <w:t xml:space="preserve"> schedules</w:t>
      </w:r>
      <w:r w:rsidRPr="005A045D">
        <w:t xml:space="preserve"> survive with the two separate decrees which ordered the mariners to be paid, all of them differing on some points.</w:t>
      </w:r>
      <w:r w:rsidRPr="005A045D">
        <w:rPr>
          <w:vertAlign w:val="superscript"/>
        </w:rPr>
        <w:footnoteReference w:id="25"/>
      </w:r>
      <w:r w:rsidR="009D746C">
        <w:t xml:space="preserve"> As written contract</w:t>
      </w:r>
      <w:r w:rsidR="00F53F0C">
        <w:t>s were very unusual</w:t>
      </w:r>
      <w:r w:rsidR="009D746C">
        <w:t xml:space="preserve"> for </w:t>
      </w:r>
      <w:r w:rsidR="00F53F0C">
        <w:t>English</w:t>
      </w:r>
      <w:r w:rsidR="009D746C">
        <w:t xml:space="preserve"> sa</w:t>
      </w:r>
      <w:r w:rsidR="00650707">
        <w:t>ilors in this period there is rarely</w:t>
      </w:r>
      <w:r w:rsidR="009D746C">
        <w:t xml:space="preserve"> corroborating evidence, and it is </w:t>
      </w:r>
      <w:r w:rsidR="00E25ED6">
        <w:t xml:space="preserve">therefore </w:t>
      </w:r>
      <w:r w:rsidR="00F53F0C">
        <w:t>p</w:t>
      </w:r>
      <w:r w:rsidR="009D746C">
        <w:t>ossible that plaintiffs claimed higher wages than the sum for which they had actually been hired.</w:t>
      </w:r>
      <w:r w:rsidR="00870BC1">
        <w:rPr>
          <w:rStyle w:val="FootnoteReference"/>
        </w:rPr>
        <w:footnoteReference w:id="26"/>
      </w:r>
      <w:r w:rsidR="009D746C">
        <w:t xml:space="preserve"> </w:t>
      </w:r>
    </w:p>
    <w:p w:rsidR="005C7646" w:rsidRPr="005A045D" w:rsidRDefault="00A87B28" w:rsidP="00C65E36">
      <w:pPr>
        <w:spacing w:line="360" w:lineRule="auto"/>
        <w:ind w:firstLine="720"/>
        <w:jc w:val="both"/>
      </w:pPr>
      <w:r>
        <w:t>Nevertheless,</w:t>
      </w:r>
      <w:r w:rsidR="00A50EC4">
        <w:t xml:space="preserve"> </w:t>
      </w:r>
      <w:r w:rsidR="00CC42DF">
        <w:t>only 110</w:t>
      </w:r>
      <w:r w:rsidR="00A50EC4">
        <w:t xml:space="preserve"> entries</w:t>
      </w:r>
      <w:r w:rsidR="00CC42DF">
        <w:t xml:space="preserve"> (6.</w:t>
      </w:r>
      <w:r w:rsidR="00210C8B">
        <w:t>3</w:t>
      </w:r>
      <w:r w:rsidR="005C7646" w:rsidRPr="005A045D">
        <w:t xml:space="preserve"> per cent of the total</w:t>
      </w:r>
      <w:r w:rsidR="00A50EC4">
        <w:t xml:space="preserve"> dataset</w:t>
      </w:r>
      <w:r w:rsidR="005C7646" w:rsidRPr="005A045D">
        <w:t xml:space="preserve">) feature competing claims </w:t>
      </w:r>
      <w:r w:rsidR="0053134B">
        <w:t>about the value</w:t>
      </w:r>
      <w:r w:rsidR="005C7646" w:rsidRPr="005A045D">
        <w:t xml:space="preserve"> of wages due</w:t>
      </w:r>
      <w:r w:rsidR="002F523E">
        <w:t xml:space="preserve">, which suggests </w:t>
      </w:r>
      <w:r w:rsidR="004B3C88">
        <w:t>that plaintiffs did not regularly exaggerate their wage claims, or</w:t>
      </w:r>
      <w:r w:rsidR="004334F1">
        <w:t xml:space="preserve"> perhaps</w:t>
      </w:r>
      <w:r w:rsidR="004B3C88">
        <w:t xml:space="preserve"> that defendants </w:t>
      </w:r>
      <w:r w:rsidR="0079172D">
        <w:t>did not generally focus upon this question</w:t>
      </w:r>
      <w:r w:rsidR="00170C2B">
        <w:t xml:space="preserve"> as a legal tactic</w:t>
      </w:r>
      <w:r w:rsidR="005C7646" w:rsidRPr="005A045D">
        <w:t xml:space="preserve">. </w:t>
      </w:r>
      <w:r w:rsidR="00BA1C56">
        <w:t>Amongst these entries</w:t>
      </w:r>
      <w:r w:rsidR="00D41C08">
        <w:t xml:space="preserve"> there i</w:t>
      </w:r>
      <w:r w:rsidR="005C7646" w:rsidRPr="005A045D">
        <w:t>s considerable variation, with the difference between the claims in each instance ranging from 1s to 59.4s, on mean average 6.2s; the difference could be as little as 1.2 per cent and as much as 98</w:t>
      </w:r>
      <w:r w:rsidR="00245981">
        <w:t>.0</w:t>
      </w:r>
      <w:r w:rsidR="005C7646" w:rsidRPr="005A045D">
        <w:t xml:space="preserve"> per cent, with a mean of 21.1 per cent. It is very difficult to evaluate who (if anybody) submitted the more accurate details concerning wag</w:t>
      </w:r>
      <w:r w:rsidR="009E4451">
        <w:t>es in these particular cases. T</w:t>
      </w:r>
      <w:r w:rsidR="005C7646" w:rsidRPr="005A045D">
        <w:t xml:space="preserve">he differences could </w:t>
      </w:r>
      <w:r w:rsidR="005C7646" w:rsidRPr="005A045D">
        <w:lastRenderedPageBreak/>
        <w:t>considerably alter t</w:t>
      </w:r>
      <w:r w:rsidR="008F4C36">
        <w:t>hese individual entries, but</w:t>
      </w:r>
      <w:r w:rsidR="005C7646" w:rsidRPr="005A045D">
        <w:t xml:space="preserve"> without much impact upon the </w:t>
      </w:r>
      <w:r w:rsidR="00B85BD2" w:rsidRPr="005A045D">
        <w:t xml:space="preserve">dataset </w:t>
      </w:r>
      <w:r w:rsidR="005C7646" w:rsidRPr="005A045D">
        <w:t>as a whole.</w:t>
      </w:r>
      <w:r w:rsidR="006F3245" w:rsidRPr="005A045D">
        <w:t xml:space="preserve"> Where different claims for a specific wage entry were encountered, or where individuals were promoted or demoted during the course of a voyage, </w:t>
      </w:r>
      <w:r w:rsidR="0084478A">
        <w:t>th</w:t>
      </w:r>
      <w:r w:rsidR="00B43D8F">
        <w:t>e lowest</w:t>
      </w:r>
      <w:r w:rsidR="0086778D">
        <w:t xml:space="preserve"> initial value </w:t>
      </w:r>
      <w:r w:rsidR="00C63DC0">
        <w:t xml:space="preserve">has </w:t>
      </w:r>
      <w:r w:rsidR="00C33321">
        <w:t>be</w:t>
      </w:r>
      <w:r w:rsidR="00C63DC0">
        <w:t>en</w:t>
      </w:r>
      <w:r w:rsidR="0084478A">
        <w:t xml:space="preserve"> given in the </w:t>
      </w:r>
      <w:r w:rsidR="0084478A">
        <w:rPr>
          <w:b/>
        </w:rPr>
        <w:t xml:space="preserve">Wage (s) </w:t>
      </w:r>
      <w:r w:rsidR="0084478A">
        <w:t>field and</w:t>
      </w:r>
      <w:r w:rsidR="00C33321">
        <w:t xml:space="preserve"> </w:t>
      </w:r>
      <w:r w:rsidR="0086778D">
        <w:t>used</w:t>
      </w:r>
      <w:r w:rsidR="009952A2" w:rsidRPr="009952A2">
        <w:t xml:space="preserve"> </w:t>
      </w:r>
      <w:r w:rsidR="009952A2">
        <w:t>in all calculations</w:t>
      </w:r>
      <w:r w:rsidR="00C63DC0">
        <w:t xml:space="preserve"> based upon the dataset</w:t>
      </w:r>
      <w:r w:rsidR="00B70BA7">
        <w:t xml:space="preserve">, to minimize as far as possible </w:t>
      </w:r>
      <w:r w:rsidR="00A45FC0">
        <w:t xml:space="preserve">any </w:t>
      </w:r>
      <w:r w:rsidR="00B70BA7">
        <w:t>exaggeration of wages by plaintiffs</w:t>
      </w:r>
      <w:r w:rsidR="0084478A">
        <w:t xml:space="preserve">, but the alternative claims are given in the </w:t>
      </w:r>
      <w:r w:rsidR="0084478A">
        <w:rPr>
          <w:b/>
        </w:rPr>
        <w:t xml:space="preserve">Notes </w:t>
      </w:r>
      <w:r w:rsidR="0084478A">
        <w:t>field</w:t>
      </w:r>
      <w:r w:rsidR="006F3245" w:rsidRPr="005A045D">
        <w:t>.</w:t>
      </w:r>
      <w:r w:rsidR="004B3C88">
        <w:t xml:space="preserve"> </w:t>
      </w:r>
    </w:p>
    <w:p w:rsidR="00F65ADA" w:rsidRDefault="00F65ADA" w:rsidP="00080E50">
      <w:pPr>
        <w:spacing w:line="360" w:lineRule="auto"/>
        <w:jc w:val="both"/>
      </w:pPr>
    </w:p>
    <w:p w:rsidR="003B396A" w:rsidRDefault="00340F83" w:rsidP="00F65ADA">
      <w:pPr>
        <w:spacing w:line="360" w:lineRule="auto"/>
        <w:ind w:firstLine="720"/>
        <w:jc w:val="both"/>
        <w:rPr>
          <w:b/>
        </w:rPr>
      </w:pPr>
      <w:r>
        <w:rPr>
          <w:b/>
        </w:rPr>
        <w:t>Categories</w:t>
      </w:r>
    </w:p>
    <w:p w:rsidR="00C52B05" w:rsidRDefault="00A41D9F" w:rsidP="00F65ADA">
      <w:pPr>
        <w:spacing w:after="240" w:line="360" w:lineRule="auto"/>
        <w:jc w:val="both"/>
      </w:pPr>
      <w:r w:rsidRPr="005A045D">
        <w:t xml:space="preserve">Where they </w:t>
      </w:r>
      <w:r w:rsidR="00B82E34">
        <w:t>were</w:t>
      </w:r>
      <w:r w:rsidRPr="005A045D">
        <w:t xml:space="preserve"> recorded in the evidence, individuals’ </w:t>
      </w:r>
      <w:r w:rsidR="00466AFC" w:rsidRPr="005A045D">
        <w:t>positions aboard ship have been</w:t>
      </w:r>
      <w:r w:rsidR="008C5433">
        <w:t xml:space="preserve"> given in the </w:t>
      </w:r>
      <w:r w:rsidR="008C5433">
        <w:rPr>
          <w:b/>
        </w:rPr>
        <w:t xml:space="preserve">Position </w:t>
      </w:r>
      <w:r w:rsidR="008C5433">
        <w:t>field</w:t>
      </w:r>
      <w:r w:rsidR="00466AFC" w:rsidRPr="005A045D">
        <w:t>.</w:t>
      </w:r>
      <w:r w:rsidR="001C358E">
        <w:t xml:space="preserve"> Contemporar</w:t>
      </w:r>
      <w:r w:rsidR="00C60391">
        <w:t>ies used a wide variety of labels</w:t>
      </w:r>
      <w:r w:rsidR="001C358E">
        <w:t xml:space="preserve"> to describe the different operational ranks of seafarers, but in broad terms they can be arranged into five categories</w:t>
      </w:r>
      <w:r w:rsidR="001000EC">
        <w:t xml:space="preserve">, given in the </w:t>
      </w:r>
      <w:r w:rsidR="001000EC">
        <w:rPr>
          <w:b/>
        </w:rPr>
        <w:t xml:space="preserve">Category </w:t>
      </w:r>
      <w:r w:rsidR="001000EC">
        <w:t>field</w:t>
      </w:r>
      <w:r w:rsidR="001C358E">
        <w:t>: masters, master’s mates, specialists, mariners, and unspecified.</w:t>
      </w:r>
      <w:r w:rsidR="002B0FBA">
        <w:rPr>
          <w:rStyle w:val="FootnoteReference"/>
        </w:rPr>
        <w:footnoteReference w:id="27"/>
      </w:r>
      <w:r w:rsidR="001C358E">
        <w:t xml:space="preserve"> </w:t>
      </w:r>
      <w:r w:rsidR="005038EA">
        <w:t xml:space="preserve">For the 22 entries where the seafarer </w:t>
      </w:r>
      <w:r w:rsidR="001C358E">
        <w:t>was promoted</w:t>
      </w:r>
      <w:r w:rsidR="00D634BC">
        <w:t xml:space="preserve"> or demoted</w:t>
      </w:r>
      <w:r w:rsidR="001C358E">
        <w:t xml:space="preserve"> during a voyage, their initial rank</w:t>
      </w:r>
      <w:r w:rsidR="00226EEB">
        <w:t xml:space="preserve"> has</w:t>
      </w:r>
      <w:r w:rsidR="001C358E">
        <w:t xml:space="preserve"> been used for categorisation.</w:t>
      </w:r>
      <w:r w:rsidR="00E51B91">
        <w:rPr>
          <w:rStyle w:val="FootnoteReference"/>
        </w:rPr>
        <w:footnoteReference w:id="28"/>
      </w:r>
      <w:r w:rsidR="001F5242">
        <w:t xml:space="preserve"> However,</w:t>
      </w:r>
      <w:r w:rsidR="004D4415">
        <w:t xml:space="preserve"> the 1</w:t>
      </w:r>
      <w:r w:rsidR="009A2753">
        <w:t>1</w:t>
      </w:r>
      <w:r w:rsidR="004D4415">
        <w:t xml:space="preserve"> </w:t>
      </w:r>
      <w:r w:rsidR="001C358E" w:rsidRPr="005A045D">
        <w:t xml:space="preserve">individuals </w:t>
      </w:r>
      <w:r w:rsidR="004D4415">
        <w:t xml:space="preserve">who </w:t>
      </w:r>
      <w:r w:rsidR="001C358E" w:rsidRPr="005A045D">
        <w:t xml:space="preserve">held multiple posts at the same </w:t>
      </w:r>
      <w:r w:rsidR="001C358E">
        <w:t xml:space="preserve">time, </w:t>
      </w:r>
      <w:r w:rsidR="001C358E" w:rsidRPr="005A045D">
        <w:t>rather than being promot</w:t>
      </w:r>
      <w:r w:rsidR="001C358E">
        <w:t>ed or demoted between positions</w:t>
      </w:r>
      <w:r w:rsidR="001F5242">
        <w:t>,</w:t>
      </w:r>
      <w:r w:rsidR="001C358E" w:rsidRPr="005A045D">
        <w:t xml:space="preserve"> have been categorised according to their highest rank – for example Francis Norham, who served as second mate and gunner of the </w:t>
      </w:r>
      <w:r w:rsidR="001C358E" w:rsidRPr="005A045D">
        <w:rPr>
          <w:i/>
        </w:rPr>
        <w:t xml:space="preserve">Ralphs Goodwill </w:t>
      </w:r>
      <w:r w:rsidR="001C358E" w:rsidRPr="005A045D">
        <w:t>in 1682-3, has been counte</w:t>
      </w:r>
      <w:r w:rsidR="00367C6C">
        <w:t>d as a master’s mate and not a specialist</w:t>
      </w:r>
      <w:r w:rsidR="001C358E" w:rsidRPr="005A045D">
        <w:t>.</w:t>
      </w:r>
      <w:r w:rsidR="001C358E" w:rsidRPr="005A045D">
        <w:rPr>
          <w:vertAlign w:val="superscript"/>
        </w:rPr>
        <w:footnoteReference w:id="29"/>
      </w:r>
      <w:r w:rsidR="001C358E" w:rsidRPr="005A045D">
        <w:t xml:space="preserve"> </w:t>
      </w:r>
    </w:p>
    <w:p w:rsidR="002B0FBA" w:rsidRPr="002B0FBA" w:rsidRDefault="00DC50CE" w:rsidP="00146593">
      <w:pPr>
        <w:spacing w:line="360" w:lineRule="auto"/>
        <w:jc w:val="center"/>
        <w:rPr>
          <w:b/>
        </w:rPr>
      </w:pPr>
      <w:r>
        <w:rPr>
          <w:b/>
        </w:rPr>
        <w:t>Table 2: Wage e</w:t>
      </w:r>
      <w:r w:rsidR="002B0FBA">
        <w:rPr>
          <w:b/>
        </w:rPr>
        <w:t>ntr</w:t>
      </w:r>
      <w:r>
        <w:rPr>
          <w:b/>
        </w:rPr>
        <w:t>ies in the HCA Wage Dataset by c</w:t>
      </w:r>
      <w:r w:rsidR="002B0FBA">
        <w:rPr>
          <w:b/>
        </w:rPr>
        <w:t>ategory</w:t>
      </w:r>
    </w:p>
    <w:tbl>
      <w:tblPr>
        <w:tblStyle w:val="TableGrid"/>
        <w:tblW w:w="0" w:type="auto"/>
        <w:tblLook w:val="04A0" w:firstRow="1" w:lastRow="0" w:firstColumn="1" w:lastColumn="0" w:noHBand="0" w:noVBand="1"/>
      </w:tblPr>
      <w:tblGrid>
        <w:gridCol w:w="1502"/>
        <w:gridCol w:w="1328"/>
        <w:gridCol w:w="1843"/>
        <w:gridCol w:w="1337"/>
        <w:gridCol w:w="1503"/>
        <w:gridCol w:w="1503"/>
      </w:tblGrid>
      <w:tr w:rsidR="002B0FBA" w:rsidTr="00FC1304">
        <w:tc>
          <w:tcPr>
            <w:tcW w:w="1502" w:type="dxa"/>
            <w:tcBorders>
              <w:bottom w:val="single" w:sz="4" w:space="0" w:color="auto"/>
            </w:tcBorders>
          </w:tcPr>
          <w:p w:rsidR="002B0FBA" w:rsidRPr="00D62DC0" w:rsidRDefault="002B0FBA"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D62DC0">
              <w:t>Sample</w:t>
            </w:r>
          </w:p>
        </w:tc>
        <w:tc>
          <w:tcPr>
            <w:tcW w:w="1328" w:type="dxa"/>
            <w:tcBorders>
              <w:bottom w:val="single" w:sz="4" w:space="0" w:color="auto"/>
            </w:tcBorders>
          </w:tcPr>
          <w:p w:rsidR="002B0FBA" w:rsidRPr="00D62DC0" w:rsidRDefault="002B0FBA"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D62DC0">
              <w:t>Master</w:t>
            </w:r>
          </w:p>
        </w:tc>
        <w:tc>
          <w:tcPr>
            <w:tcW w:w="1843" w:type="dxa"/>
            <w:tcBorders>
              <w:bottom w:val="single" w:sz="4" w:space="0" w:color="auto"/>
            </w:tcBorders>
          </w:tcPr>
          <w:p w:rsidR="002B0FBA" w:rsidRPr="00D62DC0" w:rsidRDefault="002B0FBA"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D62DC0">
              <w:t>Master’s mate</w:t>
            </w:r>
          </w:p>
        </w:tc>
        <w:tc>
          <w:tcPr>
            <w:tcW w:w="1337" w:type="dxa"/>
            <w:tcBorders>
              <w:bottom w:val="single" w:sz="4" w:space="0" w:color="auto"/>
            </w:tcBorders>
          </w:tcPr>
          <w:p w:rsidR="002B0FBA" w:rsidRPr="00D62DC0" w:rsidRDefault="002B0FBA"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D62DC0">
              <w:t>Specialist</w:t>
            </w:r>
          </w:p>
        </w:tc>
        <w:tc>
          <w:tcPr>
            <w:tcW w:w="1503" w:type="dxa"/>
            <w:tcBorders>
              <w:bottom w:val="single" w:sz="4" w:space="0" w:color="auto"/>
            </w:tcBorders>
          </w:tcPr>
          <w:p w:rsidR="002B0FBA" w:rsidRPr="00D62DC0" w:rsidRDefault="002B0FBA"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D62DC0">
              <w:t>Mariner</w:t>
            </w:r>
          </w:p>
        </w:tc>
        <w:tc>
          <w:tcPr>
            <w:tcW w:w="1503" w:type="dxa"/>
            <w:tcBorders>
              <w:bottom w:val="single" w:sz="4" w:space="0" w:color="auto"/>
            </w:tcBorders>
          </w:tcPr>
          <w:p w:rsidR="002B0FBA" w:rsidRPr="00D62DC0" w:rsidRDefault="002B0FBA"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D62DC0">
              <w:t>Unspecified</w:t>
            </w:r>
          </w:p>
        </w:tc>
      </w:tr>
      <w:tr w:rsidR="002B0FBA" w:rsidTr="00FC1304">
        <w:tc>
          <w:tcPr>
            <w:tcW w:w="1502" w:type="dxa"/>
            <w:tcBorders>
              <w:bottom w:val="dotted" w:sz="4" w:space="0" w:color="auto"/>
            </w:tcBorders>
          </w:tcPr>
          <w:p w:rsidR="002B0FBA" w:rsidRPr="00D62DC0" w:rsidRDefault="002B0FBA"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D62DC0">
              <w:t>1589-1592</w:t>
            </w:r>
          </w:p>
        </w:tc>
        <w:tc>
          <w:tcPr>
            <w:tcW w:w="1328" w:type="dxa"/>
            <w:tcBorders>
              <w:bottom w:val="dotted" w:sz="4" w:space="0" w:color="auto"/>
            </w:tcBorders>
          </w:tcPr>
          <w:p w:rsidR="002B0FBA" w:rsidRDefault="002B0FBA"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w:t>
            </w:r>
          </w:p>
        </w:tc>
        <w:tc>
          <w:tcPr>
            <w:tcW w:w="1843" w:type="dxa"/>
            <w:tcBorders>
              <w:bottom w:val="dotted" w:sz="4" w:space="0" w:color="auto"/>
            </w:tcBorders>
          </w:tcPr>
          <w:p w:rsidR="002B0FBA" w:rsidRDefault="002B0FBA"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1</w:t>
            </w:r>
          </w:p>
        </w:tc>
        <w:tc>
          <w:tcPr>
            <w:tcW w:w="1337" w:type="dxa"/>
            <w:tcBorders>
              <w:bottom w:val="dotted" w:sz="4" w:space="0" w:color="auto"/>
            </w:tcBorders>
          </w:tcPr>
          <w:p w:rsidR="002B0FBA" w:rsidRDefault="002B0FBA"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2</w:t>
            </w:r>
          </w:p>
        </w:tc>
        <w:tc>
          <w:tcPr>
            <w:tcW w:w="1503" w:type="dxa"/>
            <w:tcBorders>
              <w:bottom w:val="dotted" w:sz="4" w:space="0" w:color="auto"/>
            </w:tcBorders>
          </w:tcPr>
          <w:p w:rsidR="002B0FBA" w:rsidRDefault="002B0FBA"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1</w:t>
            </w:r>
          </w:p>
        </w:tc>
        <w:tc>
          <w:tcPr>
            <w:tcW w:w="1503" w:type="dxa"/>
            <w:tcBorders>
              <w:bottom w:val="dotted" w:sz="4" w:space="0" w:color="auto"/>
            </w:tcBorders>
          </w:tcPr>
          <w:p w:rsidR="002B0FBA" w:rsidRDefault="002B0FBA"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20</w:t>
            </w:r>
          </w:p>
        </w:tc>
      </w:tr>
      <w:tr w:rsidR="002B0FBA" w:rsidTr="00FC1304">
        <w:tc>
          <w:tcPr>
            <w:tcW w:w="1502" w:type="dxa"/>
            <w:tcBorders>
              <w:top w:val="dotted" w:sz="4" w:space="0" w:color="auto"/>
              <w:bottom w:val="dotted" w:sz="4" w:space="0" w:color="auto"/>
            </w:tcBorders>
          </w:tcPr>
          <w:p w:rsidR="002B0FBA" w:rsidRPr="00D62DC0" w:rsidRDefault="002B0FBA"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D62DC0">
              <w:t>1640-1650</w:t>
            </w:r>
          </w:p>
        </w:tc>
        <w:tc>
          <w:tcPr>
            <w:tcW w:w="1328" w:type="dxa"/>
            <w:tcBorders>
              <w:top w:val="dotted" w:sz="4" w:space="0" w:color="auto"/>
              <w:bottom w:val="dotted" w:sz="4" w:space="0" w:color="auto"/>
            </w:tcBorders>
          </w:tcPr>
          <w:p w:rsidR="002B0FBA" w:rsidRDefault="002B0FBA"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13</w:t>
            </w:r>
          </w:p>
        </w:tc>
        <w:tc>
          <w:tcPr>
            <w:tcW w:w="1843" w:type="dxa"/>
            <w:tcBorders>
              <w:top w:val="dotted" w:sz="4" w:space="0" w:color="auto"/>
              <w:bottom w:val="dotted" w:sz="4" w:space="0" w:color="auto"/>
            </w:tcBorders>
          </w:tcPr>
          <w:p w:rsidR="002B0FBA" w:rsidRDefault="00CF3075"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22</w:t>
            </w:r>
          </w:p>
        </w:tc>
        <w:tc>
          <w:tcPr>
            <w:tcW w:w="1337" w:type="dxa"/>
            <w:tcBorders>
              <w:top w:val="dotted" w:sz="4" w:space="0" w:color="auto"/>
              <w:bottom w:val="dotted" w:sz="4" w:space="0" w:color="auto"/>
            </w:tcBorders>
          </w:tcPr>
          <w:p w:rsidR="002B0FBA" w:rsidRDefault="00CF3075"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77</w:t>
            </w:r>
          </w:p>
        </w:tc>
        <w:tc>
          <w:tcPr>
            <w:tcW w:w="1503" w:type="dxa"/>
            <w:tcBorders>
              <w:top w:val="dotted" w:sz="4" w:space="0" w:color="auto"/>
              <w:bottom w:val="dotted" w:sz="4" w:space="0" w:color="auto"/>
            </w:tcBorders>
          </w:tcPr>
          <w:p w:rsidR="002B0FBA" w:rsidRDefault="00D51483"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19</w:t>
            </w:r>
          </w:p>
        </w:tc>
        <w:tc>
          <w:tcPr>
            <w:tcW w:w="1503" w:type="dxa"/>
            <w:tcBorders>
              <w:top w:val="dotted" w:sz="4" w:space="0" w:color="auto"/>
              <w:bottom w:val="dotted" w:sz="4" w:space="0" w:color="auto"/>
            </w:tcBorders>
          </w:tcPr>
          <w:p w:rsidR="002B0FBA" w:rsidRDefault="00D51483"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727</w:t>
            </w:r>
          </w:p>
        </w:tc>
      </w:tr>
      <w:tr w:rsidR="002B0FBA" w:rsidTr="00FC1304">
        <w:tc>
          <w:tcPr>
            <w:tcW w:w="1502" w:type="dxa"/>
            <w:tcBorders>
              <w:top w:val="dotted" w:sz="4" w:space="0" w:color="auto"/>
              <w:bottom w:val="dotted" w:sz="4" w:space="0" w:color="auto"/>
            </w:tcBorders>
          </w:tcPr>
          <w:p w:rsidR="002B0FBA" w:rsidRPr="00D62DC0" w:rsidRDefault="002B0FBA"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D62DC0">
              <w:t>1651-1662</w:t>
            </w:r>
          </w:p>
        </w:tc>
        <w:tc>
          <w:tcPr>
            <w:tcW w:w="1328" w:type="dxa"/>
            <w:tcBorders>
              <w:top w:val="dotted" w:sz="4" w:space="0" w:color="auto"/>
              <w:bottom w:val="dotted" w:sz="4" w:space="0" w:color="auto"/>
            </w:tcBorders>
          </w:tcPr>
          <w:p w:rsidR="002B0FBA" w:rsidRDefault="002B0FBA"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7</w:t>
            </w:r>
          </w:p>
        </w:tc>
        <w:tc>
          <w:tcPr>
            <w:tcW w:w="1843" w:type="dxa"/>
            <w:tcBorders>
              <w:top w:val="dotted" w:sz="4" w:space="0" w:color="auto"/>
              <w:bottom w:val="dotted" w:sz="4" w:space="0" w:color="auto"/>
            </w:tcBorders>
          </w:tcPr>
          <w:p w:rsidR="002B0FBA" w:rsidRDefault="002B0FBA"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13</w:t>
            </w:r>
          </w:p>
        </w:tc>
        <w:tc>
          <w:tcPr>
            <w:tcW w:w="1337" w:type="dxa"/>
            <w:tcBorders>
              <w:top w:val="dotted" w:sz="4" w:space="0" w:color="auto"/>
              <w:bottom w:val="dotted" w:sz="4" w:space="0" w:color="auto"/>
            </w:tcBorders>
          </w:tcPr>
          <w:p w:rsidR="002B0FBA" w:rsidRDefault="00036DF5"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67</w:t>
            </w:r>
          </w:p>
        </w:tc>
        <w:tc>
          <w:tcPr>
            <w:tcW w:w="1503" w:type="dxa"/>
            <w:tcBorders>
              <w:top w:val="dotted" w:sz="4" w:space="0" w:color="auto"/>
              <w:bottom w:val="dotted" w:sz="4" w:space="0" w:color="auto"/>
            </w:tcBorders>
          </w:tcPr>
          <w:p w:rsidR="002B0FBA" w:rsidRDefault="002B0FBA"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35</w:t>
            </w:r>
          </w:p>
        </w:tc>
        <w:tc>
          <w:tcPr>
            <w:tcW w:w="1503" w:type="dxa"/>
            <w:tcBorders>
              <w:top w:val="dotted" w:sz="4" w:space="0" w:color="auto"/>
              <w:bottom w:val="dotted" w:sz="4" w:space="0" w:color="auto"/>
            </w:tcBorders>
          </w:tcPr>
          <w:p w:rsidR="002B0FBA" w:rsidRDefault="00036DF5"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217</w:t>
            </w:r>
          </w:p>
        </w:tc>
      </w:tr>
      <w:tr w:rsidR="002B0FBA" w:rsidTr="00FC1304">
        <w:tc>
          <w:tcPr>
            <w:tcW w:w="1502" w:type="dxa"/>
            <w:tcBorders>
              <w:top w:val="dotted" w:sz="4" w:space="0" w:color="auto"/>
              <w:bottom w:val="dotted" w:sz="4" w:space="0" w:color="auto"/>
            </w:tcBorders>
          </w:tcPr>
          <w:p w:rsidR="002B0FBA" w:rsidRPr="00D62DC0" w:rsidRDefault="002B0FBA"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D62DC0">
              <w:t>1680-1690</w:t>
            </w:r>
          </w:p>
        </w:tc>
        <w:tc>
          <w:tcPr>
            <w:tcW w:w="1328" w:type="dxa"/>
            <w:tcBorders>
              <w:top w:val="dotted" w:sz="4" w:space="0" w:color="auto"/>
              <w:bottom w:val="dotted" w:sz="4" w:space="0" w:color="auto"/>
            </w:tcBorders>
          </w:tcPr>
          <w:p w:rsidR="002B0FBA" w:rsidRDefault="00223B46"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20</w:t>
            </w:r>
          </w:p>
        </w:tc>
        <w:tc>
          <w:tcPr>
            <w:tcW w:w="1843" w:type="dxa"/>
            <w:tcBorders>
              <w:top w:val="dotted" w:sz="4" w:space="0" w:color="auto"/>
              <w:bottom w:val="dotted" w:sz="4" w:space="0" w:color="auto"/>
            </w:tcBorders>
          </w:tcPr>
          <w:p w:rsidR="002B0FBA" w:rsidRDefault="004E19ED"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55</w:t>
            </w:r>
          </w:p>
        </w:tc>
        <w:tc>
          <w:tcPr>
            <w:tcW w:w="1337" w:type="dxa"/>
            <w:tcBorders>
              <w:top w:val="dotted" w:sz="4" w:space="0" w:color="auto"/>
              <w:bottom w:val="dotted" w:sz="4" w:space="0" w:color="auto"/>
            </w:tcBorders>
          </w:tcPr>
          <w:p w:rsidR="002B0FBA" w:rsidRDefault="004E19ED"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148</w:t>
            </w:r>
          </w:p>
        </w:tc>
        <w:tc>
          <w:tcPr>
            <w:tcW w:w="1503" w:type="dxa"/>
            <w:tcBorders>
              <w:top w:val="dotted" w:sz="4" w:space="0" w:color="auto"/>
              <w:bottom w:val="dotted" w:sz="4" w:space="0" w:color="auto"/>
            </w:tcBorders>
          </w:tcPr>
          <w:p w:rsidR="002B0FBA" w:rsidRDefault="00865970"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108</w:t>
            </w:r>
          </w:p>
        </w:tc>
        <w:tc>
          <w:tcPr>
            <w:tcW w:w="1503" w:type="dxa"/>
            <w:tcBorders>
              <w:top w:val="dotted" w:sz="4" w:space="0" w:color="auto"/>
              <w:bottom w:val="dotted" w:sz="4" w:space="0" w:color="auto"/>
            </w:tcBorders>
          </w:tcPr>
          <w:p w:rsidR="002B0FBA" w:rsidRDefault="00D344EF"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194</w:t>
            </w:r>
          </w:p>
        </w:tc>
      </w:tr>
      <w:tr w:rsidR="002B0FBA" w:rsidTr="00FC1304">
        <w:tc>
          <w:tcPr>
            <w:tcW w:w="1502" w:type="dxa"/>
            <w:tcBorders>
              <w:top w:val="dotted" w:sz="4" w:space="0" w:color="auto"/>
              <w:bottom w:val="single" w:sz="4" w:space="0" w:color="auto"/>
            </w:tcBorders>
          </w:tcPr>
          <w:p w:rsidR="002B0FBA" w:rsidRPr="00D62DC0" w:rsidRDefault="002B0FBA"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D62DC0">
              <w:t>Total</w:t>
            </w:r>
          </w:p>
        </w:tc>
        <w:tc>
          <w:tcPr>
            <w:tcW w:w="1328" w:type="dxa"/>
            <w:tcBorders>
              <w:top w:val="dotted" w:sz="4" w:space="0" w:color="auto"/>
              <w:bottom w:val="single" w:sz="4" w:space="0" w:color="auto"/>
            </w:tcBorders>
          </w:tcPr>
          <w:p w:rsidR="002B0FBA" w:rsidRDefault="00223B46"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40</w:t>
            </w:r>
          </w:p>
        </w:tc>
        <w:tc>
          <w:tcPr>
            <w:tcW w:w="1843" w:type="dxa"/>
            <w:tcBorders>
              <w:top w:val="dotted" w:sz="4" w:space="0" w:color="auto"/>
              <w:bottom w:val="single" w:sz="4" w:space="0" w:color="auto"/>
            </w:tcBorders>
          </w:tcPr>
          <w:p w:rsidR="002B0FBA" w:rsidRDefault="004E19ED"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91</w:t>
            </w:r>
          </w:p>
        </w:tc>
        <w:tc>
          <w:tcPr>
            <w:tcW w:w="1337" w:type="dxa"/>
            <w:tcBorders>
              <w:top w:val="dotted" w:sz="4" w:space="0" w:color="auto"/>
              <w:bottom w:val="single" w:sz="4" w:space="0" w:color="auto"/>
            </w:tcBorders>
          </w:tcPr>
          <w:p w:rsidR="002B0FBA" w:rsidRDefault="004E19ED"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294</w:t>
            </w:r>
          </w:p>
        </w:tc>
        <w:tc>
          <w:tcPr>
            <w:tcW w:w="1503" w:type="dxa"/>
            <w:tcBorders>
              <w:top w:val="dotted" w:sz="4" w:space="0" w:color="auto"/>
              <w:bottom w:val="single" w:sz="4" w:space="0" w:color="auto"/>
            </w:tcBorders>
          </w:tcPr>
          <w:p w:rsidR="002B0FBA" w:rsidRDefault="008D6991"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163</w:t>
            </w:r>
          </w:p>
        </w:tc>
        <w:tc>
          <w:tcPr>
            <w:tcW w:w="1503" w:type="dxa"/>
            <w:tcBorders>
              <w:top w:val="dotted" w:sz="4" w:space="0" w:color="auto"/>
              <w:bottom w:val="single" w:sz="4" w:space="0" w:color="auto"/>
            </w:tcBorders>
          </w:tcPr>
          <w:p w:rsidR="002B0FBA" w:rsidRDefault="00D344EF"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11</w:t>
            </w:r>
            <w:r w:rsidR="00D51483">
              <w:t>58</w:t>
            </w:r>
          </w:p>
        </w:tc>
      </w:tr>
    </w:tbl>
    <w:p w:rsidR="003B6BD5" w:rsidRDefault="003B6BD5" w:rsidP="003B6BD5">
      <w:pPr>
        <w:ind w:firstLine="720"/>
        <w:jc w:val="both"/>
      </w:pPr>
    </w:p>
    <w:p w:rsidR="00C430B8" w:rsidRDefault="005C7646" w:rsidP="00267A1B">
      <w:pPr>
        <w:spacing w:before="240" w:after="240" w:line="360" w:lineRule="auto"/>
        <w:ind w:firstLine="720"/>
        <w:jc w:val="both"/>
      </w:pPr>
      <w:r w:rsidRPr="005A045D">
        <w:t>Masters and master’s mates</w:t>
      </w:r>
      <w:r w:rsidR="00223B46">
        <w:t xml:space="preserve"> are the</w:t>
      </w:r>
      <w:r w:rsidR="000F3671">
        <w:t xml:space="preserve"> smallest categories, but are also the</w:t>
      </w:r>
      <w:r w:rsidR="00223B46">
        <w:t xml:space="preserve"> </w:t>
      </w:r>
      <w:r w:rsidR="000F3671">
        <w:t>mos</w:t>
      </w:r>
      <w:r w:rsidR="00250B74">
        <w:t>t</w:t>
      </w:r>
      <w:r w:rsidR="000F3671">
        <w:t xml:space="preserve"> straightforward</w:t>
      </w:r>
      <w:r w:rsidR="00250B74">
        <w:t xml:space="preserve"> </w:t>
      </w:r>
      <w:r w:rsidR="000F3671">
        <w:t xml:space="preserve">to define </w:t>
      </w:r>
      <w:r w:rsidR="00250B74">
        <w:t>and were the most regularly identified members of a ship’</w:t>
      </w:r>
      <w:r w:rsidR="00382F49">
        <w:t xml:space="preserve">s crew </w:t>
      </w:r>
      <w:r w:rsidR="00382F49">
        <w:lastRenderedPageBreak/>
        <w:t xml:space="preserve">in the source material. </w:t>
      </w:r>
      <w:r w:rsidR="002540CE">
        <w:t xml:space="preserve">The master was appointed by the shipowners or freighting merchants (and may have been an owner or merchant himself), </w:t>
      </w:r>
      <w:r w:rsidR="005330C3">
        <w:t>navigated the vessel, recruited and</w:t>
      </w:r>
      <w:r w:rsidR="00E91143">
        <w:t xml:space="preserve"> commanded the crew, and sometimes</w:t>
      </w:r>
      <w:r w:rsidR="005330C3">
        <w:t xml:space="preserve"> </w:t>
      </w:r>
      <w:r w:rsidR="004A6E21">
        <w:t>took</w:t>
      </w:r>
      <w:r w:rsidR="00F51AB3">
        <w:t xml:space="preserve"> financial responsibility ove</w:t>
      </w:r>
      <w:r w:rsidR="005330C3">
        <w:t xml:space="preserve">r </w:t>
      </w:r>
      <w:r w:rsidR="00E91143">
        <w:t>the ship’s cargo.</w:t>
      </w:r>
      <w:r w:rsidR="00D61085">
        <w:rPr>
          <w:rStyle w:val="FootnoteReference"/>
        </w:rPr>
        <w:footnoteReference w:id="30"/>
      </w:r>
      <w:r w:rsidR="00E91143">
        <w:t xml:space="preserve"> </w:t>
      </w:r>
      <w:r w:rsidR="00CB10B9">
        <w:t>A master’s mates were his assistants, who also participated in the navigation and command of the ship, and generally succeeded the master if he died during the voyage.</w:t>
      </w:r>
      <w:r w:rsidR="009C1EDB">
        <w:t xml:space="preserve"> </w:t>
      </w:r>
      <w:r w:rsidR="001328FE">
        <w:t>They are sometimes distinguished in the records as ‘chief mate’ or ‘first mate’, ‘second mate’ and so on.</w:t>
      </w:r>
    </w:p>
    <w:p w:rsidR="00100DCE" w:rsidRDefault="00E4249C" w:rsidP="00146593">
      <w:pPr>
        <w:spacing w:line="360" w:lineRule="auto"/>
        <w:jc w:val="center"/>
        <w:rPr>
          <w:b/>
        </w:rPr>
      </w:pPr>
      <w:r>
        <w:rPr>
          <w:b/>
        </w:rPr>
        <w:t>Table 3: W</w:t>
      </w:r>
      <w:r w:rsidR="00100DCE">
        <w:rPr>
          <w:b/>
        </w:rPr>
        <w:t>age entries</w:t>
      </w:r>
      <w:r>
        <w:rPr>
          <w:b/>
        </w:rPr>
        <w:t xml:space="preserve"> of specialists</w:t>
      </w:r>
      <w:r w:rsidR="00100DCE">
        <w:rPr>
          <w:b/>
        </w:rPr>
        <w:t xml:space="preserve"> in the HCA Wage Dataset</w:t>
      </w:r>
    </w:p>
    <w:tbl>
      <w:tblPr>
        <w:tblStyle w:val="TableGrid"/>
        <w:tblW w:w="9214" w:type="dxa"/>
        <w:tblInd w:w="-5" w:type="dxa"/>
        <w:tblLook w:val="04A0" w:firstRow="1" w:lastRow="0" w:firstColumn="1" w:lastColumn="0" w:noHBand="0" w:noVBand="1"/>
      </w:tblPr>
      <w:tblGrid>
        <w:gridCol w:w="1266"/>
        <w:gridCol w:w="1251"/>
        <w:gridCol w:w="1229"/>
        <w:gridCol w:w="1040"/>
        <w:gridCol w:w="949"/>
        <w:gridCol w:w="1670"/>
        <w:gridCol w:w="1022"/>
        <w:gridCol w:w="787"/>
      </w:tblGrid>
      <w:tr w:rsidR="00100DCE" w:rsidTr="002A5169">
        <w:tc>
          <w:tcPr>
            <w:tcW w:w="1266" w:type="dxa"/>
            <w:tcBorders>
              <w:bottom w:val="single" w:sz="4" w:space="0" w:color="auto"/>
            </w:tcBorders>
          </w:tcPr>
          <w:p w:rsidR="00100DCE" w:rsidRDefault="00100DCE"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Sample</w:t>
            </w:r>
          </w:p>
        </w:tc>
        <w:tc>
          <w:tcPr>
            <w:tcW w:w="1251" w:type="dxa"/>
            <w:tcBorders>
              <w:bottom w:val="single" w:sz="4" w:space="0" w:color="auto"/>
            </w:tcBorders>
          </w:tcPr>
          <w:p w:rsidR="00100DCE" w:rsidRDefault="00100DCE"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Boatswain &amp; mate</w:t>
            </w:r>
          </w:p>
        </w:tc>
        <w:tc>
          <w:tcPr>
            <w:tcW w:w="1229" w:type="dxa"/>
            <w:tcBorders>
              <w:bottom w:val="single" w:sz="4" w:space="0" w:color="auto"/>
            </w:tcBorders>
          </w:tcPr>
          <w:p w:rsidR="00100DCE" w:rsidRDefault="00100DCE"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Carpenter &amp; mate</w:t>
            </w:r>
          </w:p>
        </w:tc>
        <w:tc>
          <w:tcPr>
            <w:tcW w:w="1040" w:type="dxa"/>
            <w:tcBorders>
              <w:bottom w:val="single" w:sz="4" w:space="0" w:color="auto"/>
            </w:tcBorders>
          </w:tcPr>
          <w:p w:rsidR="00100DCE" w:rsidRDefault="00100DCE"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Cook</w:t>
            </w:r>
          </w:p>
          <w:p w:rsidR="00100DCE" w:rsidRDefault="00100DCE"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&amp; mate</w:t>
            </w:r>
          </w:p>
        </w:tc>
        <w:tc>
          <w:tcPr>
            <w:tcW w:w="949" w:type="dxa"/>
            <w:tcBorders>
              <w:bottom w:val="single" w:sz="4" w:space="0" w:color="auto"/>
            </w:tcBorders>
          </w:tcPr>
          <w:p w:rsidR="00100DCE" w:rsidRDefault="00100DCE"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Gunner</w:t>
            </w:r>
          </w:p>
          <w:p w:rsidR="00100DCE" w:rsidRDefault="00100DCE"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&amp; mate</w:t>
            </w:r>
          </w:p>
        </w:tc>
        <w:tc>
          <w:tcPr>
            <w:tcW w:w="1670" w:type="dxa"/>
            <w:tcBorders>
              <w:bottom w:val="single" w:sz="4" w:space="0" w:color="auto"/>
            </w:tcBorders>
          </w:tcPr>
          <w:p w:rsidR="00100DCE" w:rsidRDefault="00100DCE"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Quartermaster</w:t>
            </w:r>
          </w:p>
        </w:tc>
        <w:tc>
          <w:tcPr>
            <w:tcW w:w="1022" w:type="dxa"/>
            <w:tcBorders>
              <w:bottom w:val="single" w:sz="4" w:space="0" w:color="auto"/>
            </w:tcBorders>
          </w:tcPr>
          <w:p w:rsidR="00100DCE" w:rsidRDefault="00100DCE"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Surgeon &amp; mate</w:t>
            </w:r>
          </w:p>
        </w:tc>
        <w:tc>
          <w:tcPr>
            <w:tcW w:w="787" w:type="dxa"/>
            <w:tcBorders>
              <w:bottom w:val="single" w:sz="4" w:space="0" w:color="auto"/>
            </w:tcBorders>
          </w:tcPr>
          <w:p w:rsidR="00100DCE" w:rsidRDefault="00100DCE"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Other</w:t>
            </w:r>
          </w:p>
        </w:tc>
      </w:tr>
      <w:tr w:rsidR="00100DCE" w:rsidTr="002A5169">
        <w:tc>
          <w:tcPr>
            <w:tcW w:w="1266" w:type="dxa"/>
            <w:tcBorders>
              <w:bottom w:val="dotted" w:sz="4" w:space="0" w:color="auto"/>
            </w:tcBorders>
          </w:tcPr>
          <w:p w:rsidR="00100DCE" w:rsidRDefault="00100DCE"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1589-1592</w:t>
            </w:r>
          </w:p>
        </w:tc>
        <w:tc>
          <w:tcPr>
            <w:tcW w:w="1251" w:type="dxa"/>
            <w:tcBorders>
              <w:bottom w:val="dotted" w:sz="4" w:space="0" w:color="auto"/>
            </w:tcBorders>
          </w:tcPr>
          <w:p w:rsidR="00100DCE" w:rsidRDefault="00100DCE"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w:t>
            </w:r>
          </w:p>
        </w:tc>
        <w:tc>
          <w:tcPr>
            <w:tcW w:w="1229" w:type="dxa"/>
            <w:tcBorders>
              <w:bottom w:val="dotted" w:sz="4" w:space="0" w:color="auto"/>
            </w:tcBorders>
          </w:tcPr>
          <w:p w:rsidR="00100DCE" w:rsidRDefault="009A4E1A"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1</w:t>
            </w:r>
          </w:p>
        </w:tc>
        <w:tc>
          <w:tcPr>
            <w:tcW w:w="1040" w:type="dxa"/>
            <w:tcBorders>
              <w:bottom w:val="dotted" w:sz="4" w:space="0" w:color="auto"/>
            </w:tcBorders>
          </w:tcPr>
          <w:p w:rsidR="00100DCE" w:rsidRDefault="00100DCE"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w:t>
            </w:r>
          </w:p>
        </w:tc>
        <w:tc>
          <w:tcPr>
            <w:tcW w:w="949" w:type="dxa"/>
            <w:tcBorders>
              <w:bottom w:val="dotted" w:sz="4" w:space="0" w:color="auto"/>
            </w:tcBorders>
          </w:tcPr>
          <w:p w:rsidR="00100DCE" w:rsidRDefault="009A4E1A"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1</w:t>
            </w:r>
          </w:p>
        </w:tc>
        <w:tc>
          <w:tcPr>
            <w:tcW w:w="1670" w:type="dxa"/>
            <w:tcBorders>
              <w:bottom w:val="dotted" w:sz="4" w:space="0" w:color="auto"/>
            </w:tcBorders>
          </w:tcPr>
          <w:p w:rsidR="00100DCE" w:rsidRDefault="00100DCE"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w:t>
            </w:r>
          </w:p>
        </w:tc>
        <w:tc>
          <w:tcPr>
            <w:tcW w:w="1022" w:type="dxa"/>
            <w:tcBorders>
              <w:bottom w:val="dotted" w:sz="4" w:space="0" w:color="auto"/>
            </w:tcBorders>
          </w:tcPr>
          <w:p w:rsidR="00100DCE" w:rsidRDefault="00100DCE"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w:t>
            </w:r>
          </w:p>
        </w:tc>
        <w:tc>
          <w:tcPr>
            <w:tcW w:w="787" w:type="dxa"/>
            <w:tcBorders>
              <w:bottom w:val="dotted" w:sz="4" w:space="0" w:color="auto"/>
            </w:tcBorders>
          </w:tcPr>
          <w:p w:rsidR="00100DCE" w:rsidRDefault="00100DCE"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w:t>
            </w:r>
          </w:p>
        </w:tc>
      </w:tr>
      <w:tr w:rsidR="00100DCE" w:rsidTr="002A5169">
        <w:tc>
          <w:tcPr>
            <w:tcW w:w="1266" w:type="dxa"/>
            <w:tcBorders>
              <w:top w:val="dotted" w:sz="4" w:space="0" w:color="auto"/>
              <w:bottom w:val="dotted" w:sz="4" w:space="0" w:color="auto"/>
            </w:tcBorders>
          </w:tcPr>
          <w:p w:rsidR="00100DCE" w:rsidRDefault="00100DCE"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1640-1650</w:t>
            </w:r>
          </w:p>
        </w:tc>
        <w:tc>
          <w:tcPr>
            <w:tcW w:w="1251" w:type="dxa"/>
            <w:tcBorders>
              <w:top w:val="dotted" w:sz="4" w:space="0" w:color="auto"/>
              <w:bottom w:val="dotted" w:sz="4" w:space="0" w:color="auto"/>
            </w:tcBorders>
          </w:tcPr>
          <w:p w:rsidR="00100DCE" w:rsidRDefault="00100DCE"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10</w:t>
            </w:r>
          </w:p>
        </w:tc>
        <w:tc>
          <w:tcPr>
            <w:tcW w:w="1229" w:type="dxa"/>
            <w:tcBorders>
              <w:top w:val="dotted" w:sz="4" w:space="0" w:color="auto"/>
              <w:bottom w:val="dotted" w:sz="4" w:space="0" w:color="auto"/>
            </w:tcBorders>
          </w:tcPr>
          <w:p w:rsidR="00100DCE" w:rsidRDefault="000360C2"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20</w:t>
            </w:r>
          </w:p>
        </w:tc>
        <w:tc>
          <w:tcPr>
            <w:tcW w:w="1040" w:type="dxa"/>
            <w:tcBorders>
              <w:top w:val="dotted" w:sz="4" w:space="0" w:color="auto"/>
              <w:bottom w:val="dotted" w:sz="4" w:space="0" w:color="auto"/>
            </w:tcBorders>
          </w:tcPr>
          <w:p w:rsidR="00100DCE" w:rsidRDefault="00100DCE"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5</w:t>
            </w:r>
          </w:p>
        </w:tc>
        <w:tc>
          <w:tcPr>
            <w:tcW w:w="949" w:type="dxa"/>
            <w:tcBorders>
              <w:top w:val="dotted" w:sz="4" w:space="0" w:color="auto"/>
              <w:bottom w:val="dotted" w:sz="4" w:space="0" w:color="auto"/>
            </w:tcBorders>
          </w:tcPr>
          <w:p w:rsidR="00100DCE" w:rsidRDefault="00100DCE"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11</w:t>
            </w:r>
          </w:p>
        </w:tc>
        <w:tc>
          <w:tcPr>
            <w:tcW w:w="1670" w:type="dxa"/>
            <w:tcBorders>
              <w:top w:val="dotted" w:sz="4" w:space="0" w:color="auto"/>
              <w:bottom w:val="dotted" w:sz="4" w:space="0" w:color="auto"/>
            </w:tcBorders>
          </w:tcPr>
          <w:p w:rsidR="00100DCE" w:rsidRDefault="00100DCE"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8</w:t>
            </w:r>
          </w:p>
        </w:tc>
        <w:tc>
          <w:tcPr>
            <w:tcW w:w="1022" w:type="dxa"/>
            <w:tcBorders>
              <w:top w:val="dotted" w:sz="4" w:space="0" w:color="auto"/>
              <w:bottom w:val="dotted" w:sz="4" w:space="0" w:color="auto"/>
            </w:tcBorders>
          </w:tcPr>
          <w:p w:rsidR="00100DCE" w:rsidRDefault="00811DEB"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8</w:t>
            </w:r>
          </w:p>
        </w:tc>
        <w:tc>
          <w:tcPr>
            <w:tcW w:w="787" w:type="dxa"/>
            <w:tcBorders>
              <w:top w:val="dotted" w:sz="4" w:space="0" w:color="auto"/>
              <w:bottom w:val="dotted" w:sz="4" w:space="0" w:color="auto"/>
            </w:tcBorders>
          </w:tcPr>
          <w:p w:rsidR="00100DCE" w:rsidRDefault="00B63699"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15</w:t>
            </w:r>
          </w:p>
        </w:tc>
      </w:tr>
      <w:tr w:rsidR="00100DCE" w:rsidTr="002A5169">
        <w:tc>
          <w:tcPr>
            <w:tcW w:w="1266" w:type="dxa"/>
            <w:tcBorders>
              <w:top w:val="dotted" w:sz="4" w:space="0" w:color="auto"/>
              <w:bottom w:val="dotted" w:sz="4" w:space="0" w:color="auto"/>
            </w:tcBorders>
          </w:tcPr>
          <w:p w:rsidR="00100DCE" w:rsidRDefault="00100DCE"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1651-1662</w:t>
            </w:r>
          </w:p>
        </w:tc>
        <w:tc>
          <w:tcPr>
            <w:tcW w:w="1251" w:type="dxa"/>
            <w:tcBorders>
              <w:top w:val="dotted" w:sz="4" w:space="0" w:color="auto"/>
              <w:bottom w:val="dotted" w:sz="4" w:space="0" w:color="auto"/>
            </w:tcBorders>
          </w:tcPr>
          <w:p w:rsidR="00100DCE" w:rsidRDefault="00100DCE"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13</w:t>
            </w:r>
          </w:p>
        </w:tc>
        <w:tc>
          <w:tcPr>
            <w:tcW w:w="1229" w:type="dxa"/>
            <w:tcBorders>
              <w:top w:val="dotted" w:sz="4" w:space="0" w:color="auto"/>
              <w:bottom w:val="dotted" w:sz="4" w:space="0" w:color="auto"/>
            </w:tcBorders>
          </w:tcPr>
          <w:p w:rsidR="00100DCE" w:rsidRDefault="00100DCE"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14</w:t>
            </w:r>
          </w:p>
        </w:tc>
        <w:tc>
          <w:tcPr>
            <w:tcW w:w="1040" w:type="dxa"/>
            <w:tcBorders>
              <w:top w:val="dotted" w:sz="4" w:space="0" w:color="auto"/>
              <w:bottom w:val="dotted" w:sz="4" w:space="0" w:color="auto"/>
            </w:tcBorders>
          </w:tcPr>
          <w:p w:rsidR="00D64E1A" w:rsidRDefault="005C45C4" w:rsidP="005C45C4">
            <w:pPr>
              <w:pBdr>
                <w:top w:val="none" w:sz="0" w:space="0" w:color="auto"/>
                <w:left w:val="none" w:sz="0" w:space="0" w:color="auto"/>
                <w:bottom w:val="none" w:sz="0" w:space="0" w:color="auto"/>
                <w:right w:val="none" w:sz="0" w:space="0" w:color="auto"/>
                <w:between w:val="none" w:sz="0" w:space="0" w:color="auto"/>
              </w:pBdr>
              <w:tabs>
                <w:tab w:val="left" w:pos="334"/>
                <w:tab w:val="center" w:pos="412"/>
              </w:tabs>
              <w:spacing w:line="276" w:lineRule="auto"/>
            </w:pPr>
            <w:r>
              <w:tab/>
            </w:r>
            <w:r w:rsidR="00D64E1A">
              <w:t>7</w:t>
            </w:r>
          </w:p>
        </w:tc>
        <w:tc>
          <w:tcPr>
            <w:tcW w:w="949" w:type="dxa"/>
            <w:tcBorders>
              <w:top w:val="dotted" w:sz="4" w:space="0" w:color="auto"/>
              <w:bottom w:val="dotted" w:sz="4" w:space="0" w:color="auto"/>
            </w:tcBorders>
          </w:tcPr>
          <w:p w:rsidR="00100DCE" w:rsidRDefault="00100DCE"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8</w:t>
            </w:r>
          </w:p>
        </w:tc>
        <w:tc>
          <w:tcPr>
            <w:tcW w:w="1670" w:type="dxa"/>
            <w:tcBorders>
              <w:top w:val="dotted" w:sz="4" w:space="0" w:color="auto"/>
              <w:bottom w:val="dotted" w:sz="4" w:space="0" w:color="auto"/>
            </w:tcBorders>
          </w:tcPr>
          <w:p w:rsidR="00100DCE" w:rsidRDefault="00100DCE"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9</w:t>
            </w:r>
          </w:p>
        </w:tc>
        <w:tc>
          <w:tcPr>
            <w:tcW w:w="1022" w:type="dxa"/>
            <w:tcBorders>
              <w:top w:val="dotted" w:sz="4" w:space="0" w:color="auto"/>
              <w:bottom w:val="dotted" w:sz="4" w:space="0" w:color="auto"/>
            </w:tcBorders>
          </w:tcPr>
          <w:p w:rsidR="00100DCE" w:rsidRDefault="00100DCE"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7</w:t>
            </w:r>
          </w:p>
        </w:tc>
        <w:tc>
          <w:tcPr>
            <w:tcW w:w="787" w:type="dxa"/>
            <w:tcBorders>
              <w:top w:val="dotted" w:sz="4" w:space="0" w:color="auto"/>
              <w:bottom w:val="dotted" w:sz="4" w:space="0" w:color="auto"/>
            </w:tcBorders>
          </w:tcPr>
          <w:p w:rsidR="00100DCE" w:rsidRDefault="00100DCE"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9</w:t>
            </w:r>
          </w:p>
        </w:tc>
      </w:tr>
      <w:tr w:rsidR="00100DCE" w:rsidTr="002A5169">
        <w:tc>
          <w:tcPr>
            <w:tcW w:w="1266" w:type="dxa"/>
            <w:tcBorders>
              <w:top w:val="dotted" w:sz="4" w:space="0" w:color="auto"/>
              <w:bottom w:val="dotted" w:sz="4" w:space="0" w:color="auto"/>
            </w:tcBorders>
          </w:tcPr>
          <w:p w:rsidR="00100DCE" w:rsidRDefault="00100DCE"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1680-1690</w:t>
            </w:r>
          </w:p>
        </w:tc>
        <w:tc>
          <w:tcPr>
            <w:tcW w:w="1251" w:type="dxa"/>
            <w:tcBorders>
              <w:top w:val="dotted" w:sz="4" w:space="0" w:color="auto"/>
              <w:bottom w:val="dotted" w:sz="4" w:space="0" w:color="auto"/>
            </w:tcBorders>
          </w:tcPr>
          <w:p w:rsidR="00100DCE" w:rsidRDefault="00865970"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29</w:t>
            </w:r>
          </w:p>
        </w:tc>
        <w:tc>
          <w:tcPr>
            <w:tcW w:w="1229" w:type="dxa"/>
            <w:tcBorders>
              <w:top w:val="dotted" w:sz="4" w:space="0" w:color="auto"/>
              <w:bottom w:val="dotted" w:sz="4" w:space="0" w:color="auto"/>
            </w:tcBorders>
          </w:tcPr>
          <w:p w:rsidR="00100DCE" w:rsidRDefault="000901B6"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45</w:t>
            </w:r>
          </w:p>
        </w:tc>
        <w:tc>
          <w:tcPr>
            <w:tcW w:w="1040" w:type="dxa"/>
            <w:tcBorders>
              <w:top w:val="dotted" w:sz="4" w:space="0" w:color="auto"/>
              <w:bottom w:val="dotted" w:sz="4" w:space="0" w:color="auto"/>
            </w:tcBorders>
          </w:tcPr>
          <w:p w:rsidR="00100DCE" w:rsidRDefault="005C45C4"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19</w:t>
            </w:r>
          </w:p>
        </w:tc>
        <w:tc>
          <w:tcPr>
            <w:tcW w:w="949" w:type="dxa"/>
            <w:tcBorders>
              <w:top w:val="dotted" w:sz="4" w:space="0" w:color="auto"/>
              <w:bottom w:val="dotted" w:sz="4" w:space="0" w:color="auto"/>
            </w:tcBorders>
          </w:tcPr>
          <w:p w:rsidR="00100DCE" w:rsidRDefault="00100DCE"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21</w:t>
            </w:r>
          </w:p>
        </w:tc>
        <w:tc>
          <w:tcPr>
            <w:tcW w:w="1670" w:type="dxa"/>
            <w:tcBorders>
              <w:top w:val="dotted" w:sz="4" w:space="0" w:color="auto"/>
              <w:bottom w:val="dotted" w:sz="4" w:space="0" w:color="auto"/>
            </w:tcBorders>
          </w:tcPr>
          <w:p w:rsidR="00100DCE" w:rsidRDefault="00100DCE"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14</w:t>
            </w:r>
          </w:p>
        </w:tc>
        <w:tc>
          <w:tcPr>
            <w:tcW w:w="1022" w:type="dxa"/>
            <w:tcBorders>
              <w:top w:val="dotted" w:sz="4" w:space="0" w:color="auto"/>
              <w:bottom w:val="dotted" w:sz="4" w:space="0" w:color="auto"/>
            </w:tcBorders>
          </w:tcPr>
          <w:p w:rsidR="00100DCE" w:rsidRDefault="00B65D9D"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5</w:t>
            </w:r>
          </w:p>
        </w:tc>
        <w:tc>
          <w:tcPr>
            <w:tcW w:w="787" w:type="dxa"/>
            <w:tcBorders>
              <w:top w:val="dotted" w:sz="4" w:space="0" w:color="auto"/>
              <w:bottom w:val="dotted" w:sz="4" w:space="0" w:color="auto"/>
            </w:tcBorders>
          </w:tcPr>
          <w:p w:rsidR="00100DCE" w:rsidRDefault="00E658C1"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17</w:t>
            </w:r>
          </w:p>
        </w:tc>
      </w:tr>
      <w:tr w:rsidR="00100DCE" w:rsidTr="002A5169">
        <w:tc>
          <w:tcPr>
            <w:tcW w:w="1266" w:type="dxa"/>
            <w:tcBorders>
              <w:top w:val="dotted" w:sz="4" w:space="0" w:color="auto"/>
            </w:tcBorders>
          </w:tcPr>
          <w:p w:rsidR="00100DCE" w:rsidRDefault="00100DCE"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Total</w:t>
            </w:r>
          </w:p>
        </w:tc>
        <w:tc>
          <w:tcPr>
            <w:tcW w:w="1251" w:type="dxa"/>
            <w:tcBorders>
              <w:top w:val="dotted" w:sz="4" w:space="0" w:color="auto"/>
            </w:tcBorders>
          </w:tcPr>
          <w:p w:rsidR="00100DCE" w:rsidRDefault="00865970" w:rsidP="0067217C">
            <w:pPr>
              <w:pBdr>
                <w:top w:val="none" w:sz="0" w:space="0" w:color="auto"/>
                <w:left w:val="none" w:sz="0" w:space="0" w:color="auto"/>
                <w:bottom w:val="none" w:sz="0" w:space="0" w:color="auto"/>
                <w:right w:val="none" w:sz="0" w:space="0" w:color="auto"/>
                <w:between w:val="none" w:sz="0" w:space="0" w:color="auto"/>
              </w:pBdr>
              <w:tabs>
                <w:tab w:val="left" w:pos="369"/>
                <w:tab w:val="center" w:pos="517"/>
              </w:tabs>
              <w:spacing w:line="276" w:lineRule="auto"/>
            </w:pPr>
            <w:r>
              <w:tab/>
            </w:r>
            <w:r>
              <w:tab/>
              <w:t>52</w:t>
            </w:r>
          </w:p>
        </w:tc>
        <w:tc>
          <w:tcPr>
            <w:tcW w:w="1229" w:type="dxa"/>
            <w:tcBorders>
              <w:top w:val="dotted" w:sz="4" w:space="0" w:color="auto"/>
            </w:tcBorders>
          </w:tcPr>
          <w:p w:rsidR="00100DCE" w:rsidRDefault="000360C2"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80</w:t>
            </w:r>
          </w:p>
        </w:tc>
        <w:tc>
          <w:tcPr>
            <w:tcW w:w="1040" w:type="dxa"/>
            <w:tcBorders>
              <w:top w:val="dotted" w:sz="4" w:space="0" w:color="auto"/>
            </w:tcBorders>
          </w:tcPr>
          <w:p w:rsidR="00100DCE" w:rsidRDefault="007137AD"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31</w:t>
            </w:r>
          </w:p>
        </w:tc>
        <w:tc>
          <w:tcPr>
            <w:tcW w:w="949" w:type="dxa"/>
            <w:tcBorders>
              <w:top w:val="dotted" w:sz="4" w:space="0" w:color="auto"/>
            </w:tcBorders>
          </w:tcPr>
          <w:p w:rsidR="00100DCE" w:rsidRDefault="008C2245"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41</w:t>
            </w:r>
          </w:p>
        </w:tc>
        <w:tc>
          <w:tcPr>
            <w:tcW w:w="1670" w:type="dxa"/>
            <w:tcBorders>
              <w:top w:val="dotted" w:sz="4" w:space="0" w:color="auto"/>
            </w:tcBorders>
          </w:tcPr>
          <w:p w:rsidR="00100DCE" w:rsidRDefault="00100DCE"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31</w:t>
            </w:r>
          </w:p>
        </w:tc>
        <w:tc>
          <w:tcPr>
            <w:tcW w:w="1022" w:type="dxa"/>
            <w:tcBorders>
              <w:top w:val="dotted" w:sz="4" w:space="0" w:color="auto"/>
            </w:tcBorders>
          </w:tcPr>
          <w:p w:rsidR="00602A37" w:rsidRDefault="00602A37" w:rsidP="00602A37">
            <w:pPr>
              <w:pBdr>
                <w:top w:val="none" w:sz="0" w:space="0" w:color="auto"/>
                <w:left w:val="none" w:sz="0" w:space="0" w:color="auto"/>
                <w:bottom w:val="none" w:sz="0" w:space="0" w:color="auto"/>
                <w:right w:val="none" w:sz="0" w:space="0" w:color="auto"/>
                <w:between w:val="none" w:sz="0" w:space="0" w:color="auto"/>
              </w:pBdr>
              <w:spacing w:line="276" w:lineRule="auto"/>
              <w:jc w:val="center"/>
            </w:pPr>
            <w:r>
              <w:t>20</w:t>
            </w:r>
          </w:p>
        </w:tc>
        <w:tc>
          <w:tcPr>
            <w:tcW w:w="787" w:type="dxa"/>
            <w:tcBorders>
              <w:top w:val="dotted" w:sz="4" w:space="0" w:color="auto"/>
            </w:tcBorders>
          </w:tcPr>
          <w:p w:rsidR="00100DCE" w:rsidRDefault="00B63699" w:rsidP="00BB4FB7">
            <w:pPr>
              <w:pBdr>
                <w:top w:val="none" w:sz="0" w:space="0" w:color="auto"/>
                <w:left w:val="none" w:sz="0" w:space="0" w:color="auto"/>
                <w:bottom w:val="none" w:sz="0" w:space="0" w:color="auto"/>
                <w:right w:val="none" w:sz="0" w:space="0" w:color="auto"/>
                <w:between w:val="none" w:sz="0" w:space="0" w:color="auto"/>
              </w:pBdr>
              <w:spacing w:line="276" w:lineRule="auto"/>
              <w:jc w:val="center"/>
            </w:pPr>
            <w:r>
              <w:t>41</w:t>
            </w:r>
          </w:p>
        </w:tc>
      </w:tr>
    </w:tbl>
    <w:p w:rsidR="00030FD9" w:rsidRDefault="00030FD9" w:rsidP="000B712B">
      <w:pPr>
        <w:pBdr>
          <w:right w:val="none" w:sz="0" w:space="1" w:color="000000"/>
        </w:pBdr>
        <w:jc w:val="both"/>
      </w:pPr>
    </w:p>
    <w:p w:rsidR="000D525E" w:rsidRDefault="00C430B8" w:rsidP="00C430B8">
      <w:pPr>
        <w:pBdr>
          <w:right w:val="none" w:sz="0" w:space="1" w:color="000000"/>
        </w:pBdr>
        <w:spacing w:before="240" w:line="360" w:lineRule="auto"/>
        <w:ind w:firstLine="720"/>
        <w:jc w:val="both"/>
      </w:pPr>
      <w:r w:rsidRPr="00C430B8">
        <w:t>Specialists represent the largest category besides unspecified entries, and probably the most complex; contemporaries also called them officers, but ‘specialists’ has the advantage that it avoids confusion with any modern military connotations.</w:t>
      </w:r>
      <w:r w:rsidRPr="00C430B8">
        <w:rPr>
          <w:vertAlign w:val="superscript"/>
        </w:rPr>
        <w:footnoteReference w:id="31"/>
      </w:r>
      <w:r w:rsidRPr="00C430B8">
        <w:t xml:space="preserve"> This category includes those seafarers with a specific position aboard ship, some of which were common to all ships and had quite clearly defined roles, while others were less common, or less precise, but nevertheless deserve to be distinguished from seafarers without such a role.</w:t>
      </w:r>
      <w:r w:rsidRPr="00C430B8">
        <w:rPr>
          <w:vertAlign w:val="superscript"/>
        </w:rPr>
        <w:footnoteReference w:id="32"/>
      </w:r>
      <w:r w:rsidRPr="00C430B8">
        <w:t xml:space="preserve"> This category includes 38 entries (12.9 per cent of specialists, 2.2 per cent of the dataset) </w:t>
      </w:r>
      <w:r w:rsidRPr="00C430B8">
        <w:lastRenderedPageBreak/>
        <w:t>recorded as specialists’ mates.</w:t>
      </w:r>
      <w:r w:rsidRPr="00C430B8">
        <w:rPr>
          <w:vertAlign w:val="superscript"/>
        </w:rPr>
        <w:footnoteReference w:id="33"/>
      </w:r>
      <w:r w:rsidRPr="00C430B8">
        <w:t xml:space="preserve"> The subcategories of specialist are set out in Table 3: ‘other’ includes caulkers, clerks, coopers, coxwains, pilots, pursers, sailmakers, stewards, and trumpeters. </w:t>
      </w:r>
      <w:r>
        <w:tab/>
      </w:r>
      <w:r w:rsidR="004C7609">
        <w:t xml:space="preserve"> </w:t>
      </w:r>
      <w:r w:rsidR="0093756E">
        <w:t xml:space="preserve">These entries form </w:t>
      </w:r>
      <w:r w:rsidR="00D273D4">
        <w:t>1</w:t>
      </w:r>
      <w:r w:rsidR="001135E4">
        <w:t>6.8</w:t>
      </w:r>
      <w:r w:rsidR="003A5F76">
        <w:t xml:space="preserve"> per cent of the dataset</w:t>
      </w:r>
      <w:r w:rsidR="00A860E0">
        <w:t>,</w:t>
      </w:r>
      <w:r w:rsidR="003A5F76">
        <w:t xml:space="preserve"> but </w:t>
      </w:r>
      <w:r w:rsidR="00EA0D99">
        <w:t>they represent</w:t>
      </w:r>
      <w:r w:rsidR="00A860E0">
        <w:t xml:space="preserve"> </w:t>
      </w:r>
      <w:r w:rsidR="004A3281">
        <w:t>50.</w:t>
      </w:r>
      <w:r w:rsidR="00887651">
        <w:t>0</w:t>
      </w:r>
      <w:r w:rsidR="004A3281">
        <w:t xml:space="preserve"> per cent of </w:t>
      </w:r>
      <w:r w:rsidR="002F573C">
        <w:t>those</w:t>
      </w:r>
      <w:r w:rsidR="00877AA2">
        <w:t xml:space="preserve"> </w:t>
      </w:r>
      <w:r w:rsidR="004A3281">
        <w:t>entries with a recorded rank</w:t>
      </w:r>
      <w:r w:rsidR="00515547">
        <w:t>.</w:t>
      </w:r>
      <w:r w:rsidR="00F84ACF">
        <w:t xml:space="preserve"> By contrast, in a survey of 3,137 London seafarers undertaken in 1629, 75.6 per cent were listed as mariners, and only 10.3 per cent as specialists</w:t>
      </w:r>
      <w:r w:rsidR="009071C6">
        <w:t>.</w:t>
      </w:r>
      <w:r w:rsidR="009071C6">
        <w:rPr>
          <w:rStyle w:val="FootnoteReference"/>
        </w:rPr>
        <w:footnoteReference w:id="34"/>
      </w:r>
      <w:r w:rsidR="00363532">
        <w:t xml:space="preserve"> If they are not due solely to </w:t>
      </w:r>
      <w:r w:rsidR="00D6288C">
        <w:t xml:space="preserve">distortion by </w:t>
      </w:r>
      <w:r w:rsidR="00363532">
        <w:t>the high proportion of unspecified entries, i</w:t>
      </w:r>
      <w:r w:rsidR="009071C6">
        <w:t>t is possible that the hig</w:t>
      </w:r>
      <w:r w:rsidR="00D854DB">
        <w:t>h</w:t>
      </w:r>
      <w:r w:rsidR="009071C6">
        <w:t xml:space="preserve"> </w:t>
      </w:r>
      <w:r w:rsidR="00D6288C">
        <w:t>ratio of specialists to other categories</w:t>
      </w:r>
      <w:r w:rsidR="009071C6">
        <w:t xml:space="preserve"> in the HCA material</w:t>
      </w:r>
      <w:r w:rsidR="00515547">
        <w:t xml:space="preserve"> reflects a preference for specialists to appear </w:t>
      </w:r>
      <w:r w:rsidR="00515547" w:rsidRPr="004A3281">
        <w:t>a</w:t>
      </w:r>
      <w:r w:rsidR="00515547">
        <w:t>s witnesses in the</w:t>
      </w:r>
      <w:r w:rsidR="00EB0F5F">
        <w:t xml:space="preserve"> admiralty court (although this </w:t>
      </w:r>
      <w:r w:rsidR="00404971">
        <w:t>dataset</w:t>
      </w:r>
      <w:r w:rsidR="00515547">
        <w:t xml:space="preserve"> is not based solely on witness statements)</w:t>
      </w:r>
      <w:r w:rsidR="00550BED">
        <w:t>, or</w:t>
      </w:r>
      <w:r w:rsidR="00C0269A">
        <w:t xml:space="preserve"> perhaps</w:t>
      </w:r>
      <w:r w:rsidR="00550BED">
        <w:t xml:space="preserve"> specialists were more likely to sue for their wages</w:t>
      </w:r>
      <w:r w:rsidR="00515547">
        <w:t>.</w:t>
      </w:r>
      <w:r w:rsidR="00515547">
        <w:rPr>
          <w:rStyle w:val="FootnoteReference"/>
        </w:rPr>
        <w:footnoteReference w:id="35"/>
      </w:r>
      <w:r w:rsidR="000439C5">
        <w:t xml:space="preserve"> </w:t>
      </w:r>
      <w:r w:rsidR="00061B78">
        <w:t>On the other hand,</w:t>
      </w:r>
      <w:r w:rsidR="006B6022">
        <w:t xml:space="preserve"> as the HCA records relate to specific voyages but the survey provides a</w:t>
      </w:r>
      <w:r w:rsidR="009B3905">
        <w:t xml:space="preserve"> static</w:t>
      </w:r>
      <w:r w:rsidR="006B6022">
        <w:t xml:space="preserve"> snapshot of the </w:t>
      </w:r>
      <w:r w:rsidR="00090CDA">
        <w:t>seafaring</w:t>
      </w:r>
      <w:r w:rsidR="009B3905">
        <w:t xml:space="preserve"> </w:t>
      </w:r>
      <w:r w:rsidR="006B6022">
        <w:t>community,</w:t>
      </w:r>
      <w:r w:rsidR="00061B78">
        <w:t xml:space="preserve"> this discrepancy may suggest that specialist positions were occasiona</w:t>
      </w:r>
      <w:r w:rsidR="00AF3E73">
        <w:t>l, held only for a specific voyage</w:t>
      </w:r>
      <w:r w:rsidR="00061B78">
        <w:t>, while ‘mariner’</w:t>
      </w:r>
      <w:r w:rsidR="00ED19C2">
        <w:t xml:space="preserve"> was a vocational definition</w:t>
      </w:r>
      <w:r w:rsidR="00414132">
        <w:t xml:space="preserve"> appropriate to seafarers throughout their career</w:t>
      </w:r>
      <w:r w:rsidR="00ED19C2">
        <w:t>.</w:t>
      </w:r>
      <w:r w:rsidR="000D525E" w:rsidRPr="000D525E">
        <w:t xml:space="preserve"> </w:t>
      </w:r>
      <w:r w:rsidR="006B6022">
        <w:t>In other words, some of those listed as a ‘mariner’ in the</w:t>
      </w:r>
      <w:r w:rsidR="0077192F">
        <w:t xml:space="preserve"> 1629</w:t>
      </w:r>
      <w:r w:rsidR="006B6022">
        <w:t xml:space="preserve"> survey may have held specialist roles aboard </w:t>
      </w:r>
      <w:r w:rsidR="00C415A6">
        <w:t xml:space="preserve">certain </w:t>
      </w:r>
      <w:r w:rsidR="006B6022">
        <w:t>ship</w:t>
      </w:r>
      <w:r w:rsidR="00C415A6">
        <w:t>s</w:t>
      </w:r>
      <w:r w:rsidR="006B6022">
        <w:t xml:space="preserve">, </w:t>
      </w:r>
      <w:r w:rsidR="00EE328E">
        <w:t xml:space="preserve">but </w:t>
      </w:r>
      <w:r w:rsidR="00B13B7B">
        <w:t xml:space="preserve">at other times </w:t>
      </w:r>
      <w:r w:rsidR="00EE328E">
        <w:t xml:space="preserve">were not defined </w:t>
      </w:r>
      <w:r w:rsidR="00F43391">
        <w:t xml:space="preserve">by </w:t>
      </w:r>
      <w:r w:rsidR="00EE328E">
        <w:t>these roles.</w:t>
      </w:r>
    </w:p>
    <w:p w:rsidR="003B396A" w:rsidRDefault="00142896" w:rsidP="000B712B">
      <w:pPr>
        <w:pBdr>
          <w:right w:val="none" w:sz="0" w:space="1" w:color="000000"/>
        </w:pBdr>
        <w:spacing w:line="360" w:lineRule="auto"/>
        <w:ind w:firstLine="720"/>
        <w:jc w:val="both"/>
      </w:pPr>
      <w:r>
        <w:t xml:space="preserve">Notwithstanding its </w:t>
      </w:r>
      <w:r w:rsidR="00E007D4">
        <w:t>definition</w:t>
      </w:r>
      <w:r>
        <w:t xml:space="preserve"> elsewhere, </w:t>
      </w:r>
      <w:r w:rsidR="00EC13E2">
        <w:t>‘mariner’</w:t>
      </w:r>
      <w:r w:rsidR="00252E54">
        <w:t xml:space="preserve"> has a relatively</w:t>
      </w:r>
      <w:r w:rsidR="00EC13E2">
        <w:t xml:space="preserve"> restricted meaning</w:t>
      </w:r>
      <w:r w:rsidR="008A2280" w:rsidRPr="008A2280">
        <w:t xml:space="preserve"> </w:t>
      </w:r>
      <w:r w:rsidR="008A2280">
        <w:t>within th</w:t>
      </w:r>
      <w:r w:rsidR="00E64063">
        <w:t>is</w:t>
      </w:r>
      <w:r w:rsidR="008A2280">
        <w:t xml:space="preserve"> dataset</w:t>
      </w:r>
      <w:r w:rsidR="00EC13E2">
        <w:t>: those seafarers who</w:t>
      </w:r>
      <w:r w:rsidR="008D556E">
        <w:t xml:space="preserve"> </w:t>
      </w:r>
      <w:r w:rsidR="00EC13E2">
        <w:t>did not hold a specialist role aboard ship</w:t>
      </w:r>
      <w:r w:rsidR="00656437">
        <w:t>, as far as it is possible to determine from the evidence</w:t>
      </w:r>
      <w:r w:rsidR="006F747D">
        <w:t xml:space="preserve"> in each court case</w:t>
      </w:r>
      <w:r w:rsidR="00EC13E2">
        <w:t>.</w:t>
      </w:r>
      <w:r w:rsidR="009B47C6">
        <w:t xml:space="preserve"> </w:t>
      </w:r>
      <w:r w:rsidR="00754D18">
        <w:t xml:space="preserve">This includes those described in the sources as </w:t>
      </w:r>
      <w:r w:rsidR="000513C8">
        <w:t>‘boy’</w:t>
      </w:r>
      <w:r w:rsidR="00175DC3">
        <w:t xml:space="preserve"> (there a</w:t>
      </w:r>
      <w:r w:rsidR="007C335D">
        <w:t>re 9</w:t>
      </w:r>
      <w:r w:rsidR="001D17CA">
        <w:t xml:space="preserve"> in the dataset)</w:t>
      </w:r>
      <w:r w:rsidR="000513C8">
        <w:t xml:space="preserve">, </w:t>
      </w:r>
      <w:r w:rsidR="00316592">
        <w:t xml:space="preserve">‘common man’, </w:t>
      </w:r>
      <w:r w:rsidR="00751703">
        <w:t>‘common mariner’,</w:t>
      </w:r>
      <w:r w:rsidR="000513C8">
        <w:t xml:space="preserve"> ‘foremast</w:t>
      </w:r>
      <w:r w:rsidR="00C55FEF">
        <w:t xml:space="preserve"> </w:t>
      </w:r>
      <w:r w:rsidR="000513C8">
        <w:t>man’</w:t>
      </w:r>
      <w:r w:rsidR="00C55FEF">
        <w:t>,</w:t>
      </w:r>
      <w:r w:rsidR="00751703">
        <w:t xml:space="preserve"> </w:t>
      </w:r>
      <w:r w:rsidR="00754D18">
        <w:t xml:space="preserve">‘ordinary mariner’, </w:t>
      </w:r>
      <w:r w:rsidR="00751703">
        <w:t xml:space="preserve">‘seaman’, </w:t>
      </w:r>
      <w:r w:rsidR="00C55FEF">
        <w:t xml:space="preserve">and </w:t>
      </w:r>
      <w:r w:rsidR="000513C8">
        <w:t>‘servant’</w:t>
      </w:r>
      <w:r w:rsidR="00C55FEF">
        <w:t>.</w:t>
      </w:r>
      <w:r w:rsidR="006944B4">
        <w:rPr>
          <w:rStyle w:val="FootnoteReference"/>
        </w:rPr>
        <w:footnoteReference w:id="36"/>
      </w:r>
      <w:r w:rsidR="00323D22">
        <w:t xml:space="preserve"> </w:t>
      </w:r>
      <w:r w:rsidR="00656437">
        <w:t xml:space="preserve">These terms appear to have been used </w:t>
      </w:r>
      <w:r w:rsidR="000D21A8">
        <w:t xml:space="preserve">imprecisely and </w:t>
      </w:r>
      <w:r w:rsidR="00656437">
        <w:t xml:space="preserve">interchangeably in this period, </w:t>
      </w:r>
      <w:r w:rsidR="00BB5596">
        <w:t xml:space="preserve">although ‘mariner’ </w:t>
      </w:r>
      <w:r w:rsidR="00554AEB">
        <w:t>generally appears</w:t>
      </w:r>
      <w:r w:rsidR="00A83FA4">
        <w:t xml:space="preserve"> in legal and official documents </w:t>
      </w:r>
      <w:r w:rsidR="00BB5596">
        <w:t>while ‘seaman’ was common</w:t>
      </w:r>
      <w:r w:rsidR="00C94F7B">
        <w:t>ly used as a stereotype</w:t>
      </w:r>
      <w:r w:rsidR="00BB5596">
        <w:t xml:space="preserve"> in ballads and similar sources</w:t>
      </w:r>
      <w:r w:rsidR="001D17CA">
        <w:t>.</w:t>
      </w:r>
      <w:r w:rsidR="001D17CA">
        <w:rPr>
          <w:rStyle w:val="FootnoteReference"/>
        </w:rPr>
        <w:footnoteReference w:id="37"/>
      </w:r>
      <w:r w:rsidR="00BB5596">
        <w:t xml:space="preserve"> </w:t>
      </w:r>
      <w:r w:rsidR="000D21A8">
        <w:t xml:space="preserve">As a result this category probably includes a diverse range of seafarers, some of them highly skilled </w:t>
      </w:r>
      <w:r w:rsidR="002F473D">
        <w:t>‘career’ mariners</w:t>
      </w:r>
      <w:r w:rsidR="00CE388C">
        <w:t>, others working</w:t>
      </w:r>
      <w:r w:rsidR="002F473D">
        <w:t xml:space="preserve"> at </w:t>
      </w:r>
      <w:r w:rsidR="002F473D">
        <w:lastRenderedPageBreak/>
        <w:t>sea only temporarily</w:t>
      </w:r>
      <w:r w:rsidR="00AA7675">
        <w:t>, but the evidence does not permit</w:t>
      </w:r>
      <w:r w:rsidR="00752856">
        <w:t xml:space="preserve"> more accurate distinctions</w:t>
      </w:r>
      <w:r w:rsidR="002F473D">
        <w:t xml:space="preserve">. </w:t>
      </w:r>
      <w:r w:rsidR="00EE4058">
        <w:t xml:space="preserve">Additionally, </w:t>
      </w:r>
      <w:r w:rsidR="00993733">
        <w:t>‘s</w:t>
      </w:r>
      <w:r w:rsidR="003B396A" w:rsidRPr="005A045D">
        <w:t xml:space="preserve">ervant’ is a rather </w:t>
      </w:r>
      <w:r w:rsidR="000A3924">
        <w:t>uncertain</w:t>
      </w:r>
      <w:r w:rsidR="003B396A" w:rsidRPr="005A045D">
        <w:t xml:space="preserve"> term, as </w:t>
      </w:r>
      <w:r w:rsidR="006F43A5">
        <w:t>seafarer</w:t>
      </w:r>
      <w:r w:rsidR="003B396A" w:rsidRPr="005A045D">
        <w:t>s sometimes described themselves as ‘servants’</w:t>
      </w:r>
      <w:r w:rsidR="003159A8">
        <w:t xml:space="preserve"> (in the sense of ‘employees’) of</w:t>
      </w:r>
      <w:r w:rsidR="003B396A" w:rsidRPr="005A045D">
        <w:t xml:space="preserve"> a particular ship, and the word was </w:t>
      </w:r>
      <w:r w:rsidR="00FA1A64">
        <w:t>also</w:t>
      </w:r>
      <w:r w:rsidR="003B396A" w:rsidRPr="005A045D">
        <w:t xml:space="preserve"> interchangeable with ‘apprentice’ and could, therefore, suggest a skilled or educational position, rather than a simply subordinate one.</w:t>
      </w:r>
      <w:r w:rsidR="003B396A" w:rsidRPr="005A045D">
        <w:rPr>
          <w:rStyle w:val="FootnoteReference"/>
        </w:rPr>
        <w:footnoteReference w:id="38"/>
      </w:r>
      <w:r w:rsidR="00156B9B">
        <w:t xml:space="preserve"> This is perhaps most likely with those seafarers listed as servant to a master, master’s mate, or specialist.</w:t>
      </w:r>
      <w:r w:rsidR="00726B3E">
        <w:rPr>
          <w:rStyle w:val="FootnoteReference"/>
        </w:rPr>
        <w:footnoteReference w:id="39"/>
      </w:r>
      <w:r w:rsidR="003B396A" w:rsidRPr="005A045D">
        <w:t xml:space="preserve"> </w:t>
      </w:r>
      <w:r w:rsidR="00791C4A">
        <w:t xml:space="preserve">However, there are only </w:t>
      </w:r>
      <w:r w:rsidR="00881A00">
        <w:t>22</w:t>
      </w:r>
      <w:r w:rsidR="003B396A" w:rsidRPr="005A045D">
        <w:t xml:space="preserve"> servants i</w:t>
      </w:r>
      <w:r w:rsidR="00932283">
        <w:t xml:space="preserve">n the dataset, </w:t>
      </w:r>
      <w:r w:rsidR="003B396A" w:rsidRPr="005A045D">
        <w:t xml:space="preserve">and these </w:t>
      </w:r>
      <w:r w:rsidR="00C37B00">
        <w:t>entries</w:t>
      </w:r>
      <w:r w:rsidR="003B396A" w:rsidRPr="005A045D">
        <w:t xml:space="preserve"> can therefore be included within the category ‘mariner’ on the assumption that they did not have a </w:t>
      </w:r>
      <w:r w:rsidR="004076BA">
        <w:t>specific</w:t>
      </w:r>
      <w:r w:rsidR="003B396A" w:rsidRPr="005A045D">
        <w:t xml:space="preserve"> position in the same way that specialists did</w:t>
      </w:r>
      <w:r w:rsidR="0065411F">
        <w:t>, and without danger of substantially distorting the dataset</w:t>
      </w:r>
      <w:r w:rsidR="003B396A" w:rsidRPr="005A045D">
        <w:t>.</w:t>
      </w:r>
      <w:r w:rsidR="00B44254">
        <w:rPr>
          <w:rStyle w:val="FootnoteReference"/>
        </w:rPr>
        <w:footnoteReference w:id="40"/>
      </w:r>
    </w:p>
    <w:p w:rsidR="002B0FBA" w:rsidRPr="005A045D" w:rsidRDefault="002B0FBA" w:rsidP="000B712B">
      <w:pPr>
        <w:pBdr>
          <w:right w:val="none" w:sz="0" w:space="1" w:color="000000"/>
        </w:pBdr>
        <w:spacing w:line="360" w:lineRule="auto"/>
        <w:ind w:firstLine="720"/>
        <w:jc w:val="both"/>
      </w:pPr>
      <w:r>
        <w:t>Unspecified entries are the most p</w:t>
      </w:r>
      <w:r w:rsidR="00E31D7D">
        <w:t>roblematic, as they make up 66.3</w:t>
      </w:r>
      <w:r>
        <w:t xml:space="preserve"> per cent of the dataset. </w:t>
      </w:r>
      <w:r w:rsidR="00ED1F84">
        <w:t xml:space="preserve">The detail in the records improves over time, </w:t>
      </w:r>
      <w:r w:rsidR="00DD1D6F">
        <w:t>as unspecified entries drop</w:t>
      </w:r>
      <w:r w:rsidR="007D0ED4">
        <w:t xml:space="preserve"> from 83.3 and 84.7</w:t>
      </w:r>
      <w:r w:rsidR="00ED1F84">
        <w:t xml:space="preserve"> per cent</w:t>
      </w:r>
      <w:r w:rsidR="00DD1D6F">
        <w:t xml:space="preserve"> of the sample</w:t>
      </w:r>
      <w:r w:rsidR="00ED1F84">
        <w:t xml:space="preserve"> in 1589-1592 an</w:t>
      </w:r>
      <w:r w:rsidR="0095452F">
        <w:t>d 1640-1650 respectively to 64.0</w:t>
      </w:r>
      <w:r w:rsidR="00ED1F84">
        <w:t xml:space="preserve"> per cent in 1651-1662 and 36.</w:t>
      </w:r>
      <w:r w:rsidR="0095452F">
        <w:t>8</w:t>
      </w:r>
      <w:r w:rsidR="00ED1F84">
        <w:t xml:space="preserve"> per cent in 1680-1690.</w:t>
      </w:r>
      <w:r w:rsidR="008F6A9A">
        <w:t xml:space="preserve"> It is likely</w:t>
      </w:r>
      <w:r w:rsidR="0003568F">
        <w:t xml:space="preserve"> </w:t>
      </w:r>
      <w:r w:rsidR="008F6A9A">
        <w:t xml:space="preserve">that a very large proportion of these </w:t>
      </w:r>
      <w:r w:rsidR="00DB4C96">
        <w:t>entries</w:t>
      </w:r>
      <w:r w:rsidR="008F6A9A">
        <w:t xml:space="preserve"> were mariners </w:t>
      </w:r>
      <w:r w:rsidR="00326A21">
        <w:t>(</w:t>
      </w:r>
      <w:r w:rsidR="008F6A9A">
        <w:t>in the</w:t>
      </w:r>
      <w:r w:rsidR="00E85E12">
        <w:t xml:space="preserve"> limited</w:t>
      </w:r>
      <w:r w:rsidR="008F6A9A">
        <w:t xml:space="preserve"> sense </w:t>
      </w:r>
      <w:r w:rsidR="00515547">
        <w:t>described above</w:t>
      </w:r>
      <w:r w:rsidR="00326A21">
        <w:t>)</w:t>
      </w:r>
      <w:r w:rsidR="00C4512D">
        <w:t>,</w:t>
      </w:r>
      <w:r w:rsidR="008F6A9A">
        <w:t xml:space="preserve"> but judging by their wage claims some of them were </w:t>
      </w:r>
      <w:r w:rsidR="00B742D2">
        <w:t>almost certainly</w:t>
      </w:r>
      <w:r w:rsidR="008F6A9A">
        <w:t xml:space="preserve"> specialists, and a few were probably master’s mates or masters. </w:t>
      </w:r>
      <w:r w:rsidR="009A4D98">
        <w:t>T</w:t>
      </w:r>
      <w:r w:rsidR="00B15134">
        <w:t>here is too much variation of wage level within the categories of mariner, specialist, and master’s mate</w:t>
      </w:r>
      <w:r w:rsidR="008827E0">
        <w:t>, and too much overlap between the categories,</w:t>
      </w:r>
      <w:r w:rsidR="00B15134">
        <w:t xml:space="preserve"> to assign unspecified entries to a category on the basis of wage level alone.</w:t>
      </w:r>
    </w:p>
    <w:p w:rsidR="00F03C6E" w:rsidRPr="005A045D" w:rsidRDefault="00F03C6E" w:rsidP="000B712B">
      <w:pPr>
        <w:pBdr>
          <w:right w:val="none" w:sz="0" w:space="1" w:color="000000"/>
        </w:pBdr>
        <w:spacing w:line="360" w:lineRule="auto"/>
        <w:jc w:val="both"/>
        <w:rPr>
          <w:color w:val="000000" w:themeColor="text1"/>
        </w:rPr>
      </w:pPr>
    </w:p>
    <w:p w:rsidR="00523FCA" w:rsidRPr="005A045D" w:rsidRDefault="00523FCA" w:rsidP="000B712B">
      <w:pPr>
        <w:pBdr>
          <w:right w:val="none" w:sz="0" w:space="1" w:color="000000"/>
        </w:pBdr>
        <w:spacing w:line="360" w:lineRule="auto"/>
        <w:ind w:firstLine="720"/>
        <w:jc w:val="both"/>
        <w:rPr>
          <w:b/>
          <w:color w:val="000000" w:themeColor="text1"/>
        </w:rPr>
      </w:pPr>
      <w:r w:rsidRPr="005A045D">
        <w:rPr>
          <w:b/>
          <w:color w:val="000000" w:themeColor="text1"/>
        </w:rPr>
        <w:t>Regions</w:t>
      </w:r>
    </w:p>
    <w:p w:rsidR="00146593" w:rsidRDefault="002A5169" w:rsidP="000B712B">
      <w:pPr>
        <w:pBdr>
          <w:right w:val="none" w:sz="0" w:space="1" w:color="000000"/>
        </w:pBdr>
        <w:spacing w:after="240" w:line="360" w:lineRule="auto"/>
        <w:jc w:val="both"/>
        <w:rPr>
          <w:color w:val="000000" w:themeColor="text1"/>
        </w:rPr>
      </w:pPr>
      <w:r>
        <w:rPr>
          <w:color w:val="000000" w:themeColor="text1"/>
        </w:rPr>
        <w:t xml:space="preserve">A substantial proportion of the voyages recorded in the dataset – </w:t>
      </w:r>
      <w:r w:rsidR="0031726A">
        <w:rPr>
          <w:color w:val="000000" w:themeColor="text1"/>
        </w:rPr>
        <w:t>79.5 per cent, including 77.7</w:t>
      </w:r>
      <w:r>
        <w:rPr>
          <w:color w:val="000000" w:themeColor="text1"/>
        </w:rPr>
        <w:t xml:space="preserve"> per cent of entries – featured details in the sources concerning their intended or actual destinations, </w:t>
      </w:r>
      <w:r w:rsidR="00CD46F3">
        <w:rPr>
          <w:color w:val="000000" w:themeColor="text1"/>
        </w:rPr>
        <w:t xml:space="preserve">listed in the </w:t>
      </w:r>
      <w:r w:rsidR="00CD46F3">
        <w:rPr>
          <w:b/>
          <w:color w:val="000000" w:themeColor="text1"/>
        </w:rPr>
        <w:t xml:space="preserve">Destinations </w:t>
      </w:r>
      <w:r w:rsidR="00CD46F3">
        <w:rPr>
          <w:color w:val="000000" w:themeColor="text1"/>
        </w:rPr>
        <w:t xml:space="preserve">field, and the data </w:t>
      </w:r>
      <w:r>
        <w:rPr>
          <w:color w:val="000000" w:themeColor="text1"/>
        </w:rPr>
        <w:t>can be categorised according to the region in which the voyage took place</w:t>
      </w:r>
      <w:r w:rsidR="00CD46F3">
        <w:rPr>
          <w:color w:val="000000" w:themeColor="text1"/>
        </w:rPr>
        <w:t xml:space="preserve">, given in the </w:t>
      </w:r>
      <w:r w:rsidR="00CD46F3">
        <w:rPr>
          <w:b/>
          <w:color w:val="000000" w:themeColor="text1"/>
        </w:rPr>
        <w:t xml:space="preserve">Region </w:t>
      </w:r>
      <w:r w:rsidR="00586B91">
        <w:rPr>
          <w:color w:val="000000" w:themeColor="text1"/>
        </w:rPr>
        <w:t>field</w:t>
      </w:r>
      <w:r>
        <w:rPr>
          <w:color w:val="000000" w:themeColor="text1"/>
        </w:rPr>
        <w:t>.</w:t>
      </w:r>
      <w:r w:rsidR="002226C4">
        <w:rPr>
          <w:color w:val="000000" w:themeColor="text1"/>
        </w:rPr>
        <w:t xml:space="preserve"> These divisions are tentative, however, because it is possible that further destinations were not mentioned in </w:t>
      </w:r>
      <w:r w:rsidR="002226C4">
        <w:rPr>
          <w:color w:val="000000" w:themeColor="text1"/>
        </w:rPr>
        <w:lastRenderedPageBreak/>
        <w:t xml:space="preserve">the evidence. ‘Atlantic’ here refers to transatlantic voyages, to the </w:t>
      </w:r>
      <w:r w:rsidR="003929D1">
        <w:rPr>
          <w:color w:val="000000" w:themeColor="text1"/>
        </w:rPr>
        <w:t xml:space="preserve">Atlantic coast of Africa, the </w:t>
      </w:r>
      <w:r w:rsidR="002226C4">
        <w:rPr>
          <w:color w:val="000000" w:themeColor="text1"/>
        </w:rPr>
        <w:t>American continent,</w:t>
      </w:r>
      <w:r w:rsidR="00471B8D">
        <w:rPr>
          <w:color w:val="000000" w:themeColor="text1"/>
        </w:rPr>
        <w:t xml:space="preserve"> </w:t>
      </w:r>
      <w:r w:rsidR="0096494E">
        <w:rPr>
          <w:color w:val="000000" w:themeColor="text1"/>
        </w:rPr>
        <w:t xml:space="preserve">the Caribbean, and </w:t>
      </w:r>
      <w:r w:rsidR="00471B8D">
        <w:rPr>
          <w:color w:val="000000" w:themeColor="text1"/>
        </w:rPr>
        <w:t>fishing voyage</w:t>
      </w:r>
      <w:r w:rsidR="00711517">
        <w:rPr>
          <w:color w:val="000000" w:themeColor="text1"/>
        </w:rPr>
        <w:t>s to Newfoundland and Greenland</w:t>
      </w:r>
      <w:r w:rsidR="002226C4">
        <w:rPr>
          <w:color w:val="000000" w:themeColor="text1"/>
        </w:rPr>
        <w:t>. ‘Indian Ocean’ includes voyages to east</w:t>
      </w:r>
      <w:r w:rsidR="0031726A">
        <w:rPr>
          <w:color w:val="000000" w:themeColor="text1"/>
        </w:rPr>
        <w:t>ern</w:t>
      </w:r>
      <w:r w:rsidR="002226C4">
        <w:rPr>
          <w:color w:val="000000" w:themeColor="text1"/>
        </w:rPr>
        <w:t xml:space="preserve"> Africa, India and Southeast Asia. ‘Mediterranean’ is probably the clearest and most self-explanatory category. ‘Northern Europe’ includes coastal voyages around Britain, the Baltic, the North Sea coastline of Europe and the Atlantic coast of France and Iberia. </w:t>
      </w:r>
      <w:r w:rsidR="001A0D17">
        <w:rPr>
          <w:color w:val="000000" w:themeColor="text1"/>
        </w:rPr>
        <w:t>The most significant trend</w:t>
      </w:r>
      <w:r w:rsidR="00E72458">
        <w:rPr>
          <w:color w:val="000000" w:themeColor="text1"/>
        </w:rPr>
        <w:t>s are</w:t>
      </w:r>
      <w:r w:rsidR="001A0D17">
        <w:rPr>
          <w:color w:val="000000" w:themeColor="text1"/>
        </w:rPr>
        <w:t xml:space="preserve"> the </w:t>
      </w:r>
      <w:r w:rsidR="006F766A">
        <w:rPr>
          <w:color w:val="000000" w:themeColor="text1"/>
        </w:rPr>
        <w:t xml:space="preserve">considerable </w:t>
      </w:r>
      <w:r w:rsidR="001A0D17">
        <w:rPr>
          <w:color w:val="000000" w:themeColor="text1"/>
        </w:rPr>
        <w:t>rise in the number of Atlantic voyages</w:t>
      </w:r>
      <w:r w:rsidR="004A6A05">
        <w:rPr>
          <w:color w:val="000000" w:themeColor="text1"/>
        </w:rPr>
        <w:t xml:space="preserve"> </w:t>
      </w:r>
      <w:r w:rsidR="001A0D17">
        <w:rPr>
          <w:color w:val="000000" w:themeColor="text1"/>
        </w:rPr>
        <w:t xml:space="preserve">and the slight decline in the number of voyages to the </w:t>
      </w:r>
      <w:r w:rsidR="00AB5B44">
        <w:rPr>
          <w:color w:val="000000" w:themeColor="text1"/>
        </w:rPr>
        <w:t>Mediterranean, altho</w:t>
      </w:r>
      <w:r w:rsidR="001A0D17">
        <w:rPr>
          <w:color w:val="000000" w:themeColor="text1"/>
        </w:rPr>
        <w:t>u</w:t>
      </w:r>
      <w:r w:rsidR="00AB5B44">
        <w:rPr>
          <w:color w:val="000000" w:themeColor="text1"/>
        </w:rPr>
        <w:t>g</w:t>
      </w:r>
      <w:r w:rsidR="001A0D17">
        <w:rPr>
          <w:color w:val="000000" w:themeColor="text1"/>
        </w:rPr>
        <w:t>h the</w:t>
      </w:r>
      <w:r w:rsidR="00D70C2C">
        <w:rPr>
          <w:color w:val="000000" w:themeColor="text1"/>
        </w:rPr>
        <w:t xml:space="preserve"> total</w:t>
      </w:r>
      <w:r w:rsidR="001A0D17">
        <w:rPr>
          <w:color w:val="000000" w:themeColor="text1"/>
        </w:rPr>
        <w:t xml:space="preserve"> number of voyages to each region in each sample is small and this trend is therefore not conclusively established.</w:t>
      </w:r>
    </w:p>
    <w:p w:rsidR="00146593" w:rsidRPr="00146593" w:rsidRDefault="00146593" w:rsidP="000B712B">
      <w:pPr>
        <w:pBdr>
          <w:right w:val="none" w:sz="0" w:space="1" w:color="000000"/>
        </w:pBdr>
        <w:spacing w:line="360" w:lineRule="auto"/>
        <w:jc w:val="center"/>
        <w:rPr>
          <w:b/>
          <w:color w:val="000000" w:themeColor="text1"/>
        </w:rPr>
      </w:pPr>
      <w:r>
        <w:rPr>
          <w:b/>
          <w:color w:val="000000" w:themeColor="text1"/>
        </w:rPr>
        <w:t xml:space="preserve">Table </w:t>
      </w:r>
      <w:r w:rsidR="005979D5">
        <w:rPr>
          <w:b/>
          <w:color w:val="000000" w:themeColor="text1"/>
        </w:rPr>
        <w:t>4: Wage e</w:t>
      </w:r>
      <w:r w:rsidR="00DC50CE">
        <w:rPr>
          <w:b/>
          <w:color w:val="000000" w:themeColor="text1"/>
        </w:rPr>
        <w:t xml:space="preserve">ntries in the HCA Wage Dataset </w:t>
      </w:r>
      <w:r w:rsidR="005979D5">
        <w:rPr>
          <w:b/>
          <w:color w:val="000000" w:themeColor="text1"/>
        </w:rPr>
        <w:t>by r</w:t>
      </w:r>
      <w:r w:rsidR="00DC50CE">
        <w:rPr>
          <w:b/>
          <w:color w:val="000000" w:themeColor="text1"/>
        </w:rPr>
        <w:t>egion</w:t>
      </w:r>
      <w:r w:rsidR="00CC4924">
        <w:rPr>
          <w:b/>
          <w:color w:val="000000" w:themeColor="text1"/>
        </w:rPr>
        <w:t xml:space="preserve"> (voyages / entries)</w:t>
      </w:r>
    </w:p>
    <w:tbl>
      <w:tblPr>
        <w:tblStyle w:val="TableGrid"/>
        <w:tblW w:w="0" w:type="auto"/>
        <w:tblLook w:val="04A0" w:firstRow="1" w:lastRow="0" w:firstColumn="1" w:lastColumn="0" w:noHBand="0" w:noVBand="1"/>
      </w:tblPr>
      <w:tblGrid>
        <w:gridCol w:w="1502"/>
        <w:gridCol w:w="1502"/>
        <w:gridCol w:w="1503"/>
        <w:gridCol w:w="1691"/>
        <w:gridCol w:w="1503"/>
        <w:gridCol w:w="1503"/>
      </w:tblGrid>
      <w:tr w:rsidR="005979D5" w:rsidTr="002A5169">
        <w:tc>
          <w:tcPr>
            <w:tcW w:w="1502" w:type="dxa"/>
            <w:tcBorders>
              <w:bottom w:val="single" w:sz="4" w:space="0" w:color="auto"/>
            </w:tcBorders>
          </w:tcPr>
          <w:p w:rsidR="005979D5" w:rsidRDefault="005979D5" w:rsidP="005979D5">
            <w:pPr>
              <w:pBdr>
                <w:top w:val="none" w:sz="0" w:space="0" w:color="auto"/>
                <w:left w:val="none" w:sz="0" w:space="0" w:color="auto"/>
                <w:bottom w:val="none" w:sz="0" w:space="0" w:color="auto"/>
                <w:right w:val="none" w:sz="0" w:space="0" w:color="auto"/>
                <w:between w:val="none" w:sz="0" w:space="0" w:color="auto"/>
              </w:pBdr>
              <w:spacing w:line="276" w:lineRule="auto"/>
              <w:jc w:val="center"/>
              <w:rPr>
                <w:color w:val="000000" w:themeColor="text1"/>
              </w:rPr>
            </w:pPr>
            <w:r>
              <w:rPr>
                <w:color w:val="000000" w:themeColor="text1"/>
              </w:rPr>
              <w:t>Sample</w:t>
            </w:r>
          </w:p>
        </w:tc>
        <w:tc>
          <w:tcPr>
            <w:tcW w:w="1502" w:type="dxa"/>
            <w:tcBorders>
              <w:bottom w:val="single" w:sz="4" w:space="0" w:color="auto"/>
            </w:tcBorders>
          </w:tcPr>
          <w:p w:rsidR="005979D5" w:rsidRDefault="005979D5" w:rsidP="005979D5">
            <w:pPr>
              <w:pBdr>
                <w:top w:val="none" w:sz="0" w:space="0" w:color="auto"/>
                <w:left w:val="none" w:sz="0" w:space="0" w:color="auto"/>
                <w:bottom w:val="none" w:sz="0" w:space="0" w:color="auto"/>
                <w:right w:val="none" w:sz="0" w:space="0" w:color="auto"/>
                <w:between w:val="none" w:sz="0" w:space="0" w:color="auto"/>
              </w:pBdr>
              <w:spacing w:line="276" w:lineRule="auto"/>
              <w:jc w:val="center"/>
              <w:rPr>
                <w:color w:val="000000" w:themeColor="text1"/>
              </w:rPr>
            </w:pPr>
            <w:r>
              <w:rPr>
                <w:color w:val="000000" w:themeColor="text1"/>
              </w:rPr>
              <w:t xml:space="preserve">Atlantic </w:t>
            </w:r>
          </w:p>
        </w:tc>
        <w:tc>
          <w:tcPr>
            <w:tcW w:w="1503" w:type="dxa"/>
            <w:tcBorders>
              <w:bottom w:val="single" w:sz="4" w:space="0" w:color="auto"/>
            </w:tcBorders>
          </w:tcPr>
          <w:p w:rsidR="005979D5" w:rsidRDefault="005979D5" w:rsidP="005979D5">
            <w:pPr>
              <w:pBdr>
                <w:top w:val="none" w:sz="0" w:space="0" w:color="auto"/>
                <w:left w:val="none" w:sz="0" w:space="0" w:color="auto"/>
                <w:bottom w:val="none" w:sz="0" w:space="0" w:color="auto"/>
                <w:right w:val="none" w:sz="0" w:space="0" w:color="auto"/>
                <w:between w:val="none" w:sz="0" w:space="0" w:color="auto"/>
              </w:pBdr>
              <w:spacing w:line="276" w:lineRule="auto"/>
              <w:jc w:val="center"/>
              <w:rPr>
                <w:color w:val="000000" w:themeColor="text1"/>
              </w:rPr>
            </w:pPr>
            <w:r>
              <w:rPr>
                <w:color w:val="000000" w:themeColor="text1"/>
              </w:rPr>
              <w:t>Indian Ocean</w:t>
            </w:r>
          </w:p>
        </w:tc>
        <w:tc>
          <w:tcPr>
            <w:tcW w:w="1503" w:type="dxa"/>
            <w:tcBorders>
              <w:bottom w:val="single" w:sz="4" w:space="0" w:color="auto"/>
            </w:tcBorders>
          </w:tcPr>
          <w:p w:rsidR="005979D5" w:rsidRDefault="005979D5" w:rsidP="005979D5">
            <w:pPr>
              <w:pBdr>
                <w:top w:val="none" w:sz="0" w:space="0" w:color="auto"/>
                <w:left w:val="none" w:sz="0" w:space="0" w:color="auto"/>
                <w:bottom w:val="none" w:sz="0" w:space="0" w:color="auto"/>
                <w:right w:val="none" w:sz="0" w:space="0" w:color="auto"/>
                <w:between w:val="none" w:sz="0" w:space="0" w:color="auto"/>
              </w:pBdr>
              <w:spacing w:line="276" w:lineRule="auto"/>
              <w:jc w:val="center"/>
              <w:rPr>
                <w:color w:val="000000" w:themeColor="text1"/>
              </w:rPr>
            </w:pPr>
            <w:r>
              <w:rPr>
                <w:color w:val="000000" w:themeColor="text1"/>
              </w:rPr>
              <w:t>Mediterranean</w:t>
            </w:r>
          </w:p>
        </w:tc>
        <w:tc>
          <w:tcPr>
            <w:tcW w:w="1503" w:type="dxa"/>
            <w:tcBorders>
              <w:bottom w:val="single" w:sz="4" w:space="0" w:color="auto"/>
            </w:tcBorders>
          </w:tcPr>
          <w:p w:rsidR="005979D5" w:rsidRDefault="005979D5" w:rsidP="005979D5">
            <w:pPr>
              <w:pBdr>
                <w:top w:val="none" w:sz="0" w:space="0" w:color="auto"/>
                <w:left w:val="none" w:sz="0" w:space="0" w:color="auto"/>
                <w:bottom w:val="none" w:sz="0" w:space="0" w:color="auto"/>
                <w:right w:val="none" w:sz="0" w:space="0" w:color="auto"/>
                <w:between w:val="none" w:sz="0" w:space="0" w:color="auto"/>
              </w:pBdr>
              <w:spacing w:line="276" w:lineRule="auto"/>
              <w:jc w:val="center"/>
              <w:rPr>
                <w:color w:val="000000" w:themeColor="text1"/>
              </w:rPr>
            </w:pPr>
            <w:r>
              <w:rPr>
                <w:color w:val="000000" w:themeColor="text1"/>
              </w:rPr>
              <w:t>Northern Europe</w:t>
            </w:r>
          </w:p>
        </w:tc>
        <w:tc>
          <w:tcPr>
            <w:tcW w:w="1503" w:type="dxa"/>
            <w:tcBorders>
              <w:bottom w:val="single" w:sz="4" w:space="0" w:color="auto"/>
            </w:tcBorders>
          </w:tcPr>
          <w:p w:rsidR="005979D5" w:rsidRDefault="005979D5" w:rsidP="005979D5">
            <w:pPr>
              <w:pBdr>
                <w:top w:val="none" w:sz="0" w:space="0" w:color="auto"/>
                <w:left w:val="none" w:sz="0" w:space="0" w:color="auto"/>
                <w:bottom w:val="none" w:sz="0" w:space="0" w:color="auto"/>
                <w:right w:val="none" w:sz="0" w:space="0" w:color="auto"/>
                <w:between w:val="none" w:sz="0" w:space="0" w:color="auto"/>
              </w:pBdr>
              <w:spacing w:line="276" w:lineRule="auto"/>
              <w:jc w:val="center"/>
              <w:rPr>
                <w:color w:val="000000" w:themeColor="text1"/>
              </w:rPr>
            </w:pPr>
            <w:r>
              <w:rPr>
                <w:color w:val="000000" w:themeColor="text1"/>
              </w:rPr>
              <w:t>Unspecified</w:t>
            </w:r>
          </w:p>
        </w:tc>
      </w:tr>
      <w:tr w:rsidR="005979D5" w:rsidTr="002A5169">
        <w:tc>
          <w:tcPr>
            <w:tcW w:w="1502" w:type="dxa"/>
            <w:tcBorders>
              <w:bottom w:val="dotted" w:sz="4" w:space="0" w:color="auto"/>
            </w:tcBorders>
          </w:tcPr>
          <w:p w:rsidR="005979D5" w:rsidRDefault="005979D5" w:rsidP="005979D5">
            <w:pPr>
              <w:pBdr>
                <w:top w:val="none" w:sz="0" w:space="0" w:color="auto"/>
                <w:left w:val="none" w:sz="0" w:space="0" w:color="auto"/>
                <w:bottom w:val="none" w:sz="0" w:space="0" w:color="auto"/>
                <w:right w:val="none" w:sz="0" w:space="0" w:color="auto"/>
                <w:between w:val="none" w:sz="0" w:space="0" w:color="auto"/>
              </w:pBdr>
              <w:spacing w:line="276" w:lineRule="auto"/>
              <w:jc w:val="center"/>
              <w:rPr>
                <w:color w:val="000000" w:themeColor="text1"/>
              </w:rPr>
            </w:pPr>
            <w:r>
              <w:rPr>
                <w:color w:val="000000" w:themeColor="text1"/>
              </w:rPr>
              <w:t>1589-1592</w:t>
            </w:r>
          </w:p>
        </w:tc>
        <w:tc>
          <w:tcPr>
            <w:tcW w:w="1502" w:type="dxa"/>
            <w:tcBorders>
              <w:bottom w:val="dotted" w:sz="4" w:space="0" w:color="auto"/>
            </w:tcBorders>
          </w:tcPr>
          <w:p w:rsidR="005979D5" w:rsidRDefault="005979D5" w:rsidP="005979D5">
            <w:pPr>
              <w:pBdr>
                <w:top w:val="none" w:sz="0" w:space="0" w:color="auto"/>
                <w:left w:val="none" w:sz="0" w:space="0" w:color="auto"/>
                <w:bottom w:val="none" w:sz="0" w:space="0" w:color="auto"/>
                <w:right w:val="none" w:sz="0" w:space="0" w:color="auto"/>
                <w:between w:val="none" w:sz="0" w:space="0" w:color="auto"/>
              </w:pBdr>
              <w:spacing w:line="276" w:lineRule="auto"/>
              <w:jc w:val="center"/>
              <w:rPr>
                <w:color w:val="000000" w:themeColor="text1"/>
              </w:rPr>
            </w:pPr>
            <w:r>
              <w:rPr>
                <w:color w:val="000000" w:themeColor="text1"/>
              </w:rPr>
              <w:t>-</w:t>
            </w:r>
          </w:p>
        </w:tc>
        <w:tc>
          <w:tcPr>
            <w:tcW w:w="1503" w:type="dxa"/>
            <w:tcBorders>
              <w:bottom w:val="dotted" w:sz="4" w:space="0" w:color="auto"/>
            </w:tcBorders>
          </w:tcPr>
          <w:p w:rsidR="005979D5" w:rsidRDefault="005979D5" w:rsidP="005979D5">
            <w:pPr>
              <w:pBdr>
                <w:top w:val="none" w:sz="0" w:space="0" w:color="auto"/>
                <w:left w:val="none" w:sz="0" w:space="0" w:color="auto"/>
                <w:bottom w:val="none" w:sz="0" w:space="0" w:color="auto"/>
                <w:right w:val="none" w:sz="0" w:space="0" w:color="auto"/>
                <w:between w:val="none" w:sz="0" w:space="0" w:color="auto"/>
              </w:pBdr>
              <w:spacing w:line="276" w:lineRule="auto"/>
              <w:jc w:val="center"/>
              <w:rPr>
                <w:color w:val="000000" w:themeColor="text1"/>
              </w:rPr>
            </w:pPr>
            <w:r>
              <w:rPr>
                <w:color w:val="000000" w:themeColor="text1"/>
              </w:rPr>
              <w:t>-</w:t>
            </w:r>
          </w:p>
        </w:tc>
        <w:tc>
          <w:tcPr>
            <w:tcW w:w="1503" w:type="dxa"/>
            <w:tcBorders>
              <w:bottom w:val="dotted" w:sz="4" w:space="0" w:color="auto"/>
            </w:tcBorders>
          </w:tcPr>
          <w:p w:rsidR="005979D5" w:rsidRDefault="00CC4924" w:rsidP="005979D5">
            <w:pPr>
              <w:pBdr>
                <w:top w:val="none" w:sz="0" w:space="0" w:color="auto"/>
                <w:left w:val="none" w:sz="0" w:space="0" w:color="auto"/>
                <w:bottom w:val="none" w:sz="0" w:space="0" w:color="auto"/>
                <w:right w:val="none" w:sz="0" w:space="0" w:color="auto"/>
                <w:between w:val="none" w:sz="0" w:space="0" w:color="auto"/>
              </w:pBdr>
              <w:spacing w:line="276" w:lineRule="auto"/>
              <w:jc w:val="center"/>
              <w:rPr>
                <w:color w:val="000000" w:themeColor="text1"/>
              </w:rPr>
            </w:pPr>
            <w:r>
              <w:rPr>
                <w:color w:val="000000" w:themeColor="text1"/>
              </w:rPr>
              <w:t xml:space="preserve">3 / </w:t>
            </w:r>
            <w:r w:rsidR="005979D5">
              <w:rPr>
                <w:color w:val="000000" w:themeColor="text1"/>
              </w:rPr>
              <w:t>20</w:t>
            </w:r>
          </w:p>
        </w:tc>
        <w:tc>
          <w:tcPr>
            <w:tcW w:w="1503" w:type="dxa"/>
            <w:tcBorders>
              <w:bottom w:val="dotted" w:sz="4" w:space="0" w:color="auto"/>
            </w:tcBorders>
          </w:tcPr>
          <w:p w:rsidR="005979D5" w:rsidRDefault="00CC4924" w:rsidP="005979D5">
            <w:pPr>
              <w:pBdr>
                <w:top w:val="none" w:sz="0" w:space="0" w:color="auto"/>
                <w:left w:val="none" w:sz="0" w:space="0" w:color="auto"/>
                <w:bottom w:val="none" w:sz="0" w:space="0" w:color="auto"/>
                <w:right w:val="none" w:sz="0" w:space="0" w:color="auto"/>
                <w:between w:val="none" w:sz="0" w:space="0" w:color="auto"/>
              </w:pBdr>
              <w:spacing w:line="276" w:lineRule="auto"/>
              <w:jc w:val="center"/>
              <w:rPr>
                <w:color w:val="000000" w:themeColor="text1"/>
              </w:rPr>
            </w:pPr>
            <w:r>
              <w:rPr>
                <w:color w:val="000000" w:themeColor="text1"/>
              </w:rPr>
              <w:t xml:space="preserve">1 / </w:t>
            </w:r>
            <w:r w:rsidR="005979D5">
              <w:rPr>
                <w:color w:val="000000" w:themeColor="text1"/>
              </w:rPr>
              <w:t>4</w:t>
            </w:r>
          </w:p>
        </w:tc>
        <w:tc>
          <w:tcPr>
            <w:tcW w:w="1503" w:type="dxa"/>
            <w:tcBorders>
              <w:bottom w:val="dotted" w:sz="4" w:space="0" w:color="auto"/>
            </w:tcBorders>
          </w:tcPr>
          <w:p w:rsidR="005979D5" w:rsidRDefault="005979D5" w:rsidP="005979D5">
            <w:pPr>
              <w:pBdr>
                <w:top w:val="none" w:sz="0" w:space="0" w:color="auto"/>
                <w:left w:val="none" w:sz="0" w:space="0" w:color="auto"/>
                <w:bottom w:val="none" w:sz="0" w:space="0" w:color="auto"/>
                <w:right w:val="none" w:sz="0" w:space="0" w:color="auto"/>
                <w:between w:val="none" w:sz="0" w:space="0" w:color="auto"/>
              </w:pBdr>
              <w:spacing w:line="276" w:lineRule="auto"/>
              <w:jc w:val="center"/>
              <w:rPr>
                <w:color w:val="000000" w:themeColor="text1"/>
              </w:rPr>
            </w:pPr>
            <w:r>
              <w:rPr>
                <w:color w:val="000000" w:themeColor="text1"/>
              </w:rPr>
              <w:t>-</w:t>
            </w:r>
          </w:p>
        </w:tc>
      </w:tr>
      <w:tr w:rsidR="005979D5" w:rsidTr="002A5169">
        <w:tc>
          <w:tcPr>
            <w:tcW w:w="1502" w:type="dxa"/>
            <w:tcBorders>
              <w:top w:val="dotted" w:sz="4" w:space="0" w:color="auto"/>
              <w:bottom w:val="dotted" w:sz="4" w:space="0" w:color="auto"/>
            </w:tcBorders>
          </w:tcPr>
          <w:p w:rsidR="005979D5" w:rsidRDefault="005979D5" w:rsidP="005979D5">
            <w:pPr>
              <w:pBdr>
                <w:top w:val="none" w:sz="0" w:space="0" w:color="auto"/>
                <w:left w:val="none" w:sz="0" w:space="0" w:color="auto"/>
                <w:bottom w:val="none" w:sz="0" w:space="0" w:color="auto"/>
                <w:right w:val="none" w:sz="0" w:space="0" w:color="auto"/>
                <w:between w:val="none" w:sz="0" w:space="0" w:color="auto"/>
              </w:pBdr>
              <w:spacing w:line="276" w:lineRule="auto"/>
              <w:jc w:val="center"/>
              <w:rPr>
                <w:color w:val="000000" w:themeColor="text1"/>
              </w:rPr>
            </w:pPr>
            <w:r>
              <w:rPr>
                <w:color w:val="000000" w:themeColor="text1"/>
              </w:rPr>
              <w:t>1640-1650</w:t>
            </w:r>
          </w:p>
        </w:tc>
        <w:tc>
          <w:tcPr>
            <w:tcW w:w="1502" w:type="dxa"/>
            <w:tcBorders>
              <w:top w:val="dotted" w:sz="4" w:space="0" w:color="auto"/>
              <w:bottom w:val="dotted" w:sz="4" w:space="0" w:color="auto"/>
            </w:tcBorders>
          </w:tcPr>
          <w:p w:rsidR="005979D5" w:rsidRDefault="00E47968" w:rsidP="005979D5">
            <w:pPr>
              <w:pBdr>
                <w:top w:val="none" w:sz="0" w:space="0" w:color="auto"/>
                <w:left w:val="none" w:sz="0" w:space="0" w:color="auto"/>
                <w:bottom w:val="none" w:sz="0" w:space="0" w:color="auto"/>
                <w:right w:val="none" w:sz="0" w:space="0" w:color="auto"/>
                <w:between w:val="none" w:sz="0" w:space="0" w:color="auto"/>
              </w:pBdr>
              <w:spacing w:line="276" w:lineRule="auto"/>
              <w:jc w:val="center"/>
              <w:rPr>
                <w:color w:val="000000" w:themeColor="text1"/>
              </w:rPr>
            </w:pPr>
            <w:r>
              <w:rPr>
                <w:color w:val="000000" w:themeColor="text1"/>
              </w:rPr>
              <w:t>15</w:t>
            </w:r>
            <w:r w:rsidR="00CC4924">
              <w:rPr>
                <w:color w:val="000000" w:themeColor="text1"/>
              </w:rPr>
              <w:t xml:space="preserve"> / </w:t>
            </w:r>
            <w:r>
              <w:rPr>
                <w:color w:val="000000" w:themeColor="text1"/>
              </w:rPr>
              <w:t>131</w:t>
            </w:r>
          </w:p>
        </w:tc>
        <w:tc>
          <w:tcPr>
            <w:tcW w:w="1503" w:type="dxa"/>
            <w:tcBorders>
              <w:top w:val="dotted" w:sz="4" w:space="0" w:color="auto"/>
              <w:bottom w:val="dotted" w:sz="4" w:space="0" w:color="auto"/>
            </w:tcBorders>
          </w:tcPr>
          <w:p w:rsidR="005979D5" w:rsidRDefault="00CC4924" w:rsidP="005979D5">
            <w:pPr>
              <w:pBdr>
                <w:top w:val="none" w:sz="0" w:space="0" w:color="auto"/>
                <w:left w:val="none" w:sz="0" w:space="0" w:color="auto"/>
                <w:bottom w:val="none" w:sz="0" w:space="0" w:color="auto"/>
                <w:right w:val="none" w:sz="0" w:space="0" w:color="auto"/>
                <w:between w:val="none" w:sz="0" w:space="0" w:color="auto"/>
              </w:pBdr>
              <w:spacing w:line="276" w:lineRule="auto"/>
              <w:jc w:val="center"/>
              <w:rPr>
                <w:color w:val="000000" w:themeColor="text1"/>
              </w:rPr>
            </w:pPr>
            <w:r>
              <w:rPr>
                <w:color w:val="000000" w:themeColor="text1"/>
              </w:rPr>
              <w:t xml:space="preserve">3 / </w:t>
            </w:r>
            <w:r w:rsidR="00E72458">
              <w:rPr>
                <w:color w:val="000000" w:themeColor="text1"/>
              </w:rPr>
              <w:t>190</w:t>
            </w:r>
          </w:p>
        </w:tc>
        <w:tc>
          <w:tcPr>
            <w:tcW w:w="1503" w:type="dxa"/>
            <w:tcBorders>
              <w:top w:val="dotted" w:sz="4" w:space="0" w:color="auto"/>
              <w:bottom w:val="dotted" w:sz="4" w:space="0" w:color="auto"/>
            </w:tcBorders>
          </w:tcPr>
          <w:p w:rsidR="005979D5" w:rsidRDefault="00607962" w:rsidP="005979D5">
            <w:pPr>
              <w:pBdr>
                <w:top w:val="none" w:sz="0" w:space="0" w:color="auto"/>
                <w:left w:val="none" w:sz="0" w:space="0" w:color="auto"/>
                <w:bottom w:val="none" w:sz="0" w:space="0" w:color="auto"/>
                <w:right w:val="none" w:sz="0" w:space="0" w:color="auto"/>
                <w:between w:val="none" w:sz="0" w:space="0" w:color="auto"/>
              </w:pBdr>
              <w:spacing w:line="276" w:lineRule="auto"/>
              <w:jc w:val="center"/>
              <w:rPr>
                <w:color w:val="000000" w:themeColor="text1"/>
              </w:rPr>
            </w:pPr>
            <w:r>
              <w:rPr>
                <w:color w:val="000000" w:themeColor="text1"/>
              </w:rPr>
              <w:t>22</w:t>
            </w:r>
            <w:r w:rsidR="00CC4924">
              <w:rPr>
                <w:color w:val="000000" w:themeColor="text1"/>
              </w:rPr>
              <w:t xml:space="preserve"> / </w:t>
            </w:r>
            <w:r>
              <w:rPr>
                <w:color w:val="000000" w:themeColor="text1"/>
              </w:rPr>
              <w:t>301</w:t>
            </w:r>
          </w:p>
        </w:tc>
        <w:tc>
          <w:tcPr>
            <w:tcW w:w="1503" w:type="dxa"/>
            <w:tcBorders>
              <w:top w:val="dotted" w:sz="4" w:space="0" w:color="auto"/>
              <w:bottom w:val="dotted" w:sz="4" w:space="0" w:color="auto"/>
            </w:tcBorders>
          </w:tcPr>
          <w:p w:rsidR="005979D5" w:rsidRDefault="004B09FA" w:rsidP="00E47968">
            <w:pPr>
              <w:pBdr>
                <w:top w:val="none" w:sz="0" w:space="0" w:color="auto"/>
                <w:left w:val="none" w:sz="0" w:space="0" w:color="auto"/>
                <w:bottom w:val="none" w:sz="0" w:space="0" w:color="auto"/>
                <w:right w:val="none" w:sz="0" w:space="0" w:color="auto"/>
                <w:between w:val="none" w:sz="0" w:space="0" w:color="auto"/>
              </w:pBdr>
              <w:spacing w:line="276" w:lineRule="auto"/>
              <w:jc w:val="center"/>
              <w:rPr>
                <w:color w:val="000000" w:themeColor="text1"/>
              </w:rPr>
            </w:pPr>
            <w:r>
              <w:rPr>
                <w:color w:val="000000" w:themeColor="text1"/>
              </w:rPr>
              <w:t>9</w:t>
            </w:r>
            <w:r w:rsidR="00CC4924">
              <w:rPr>
                <w:color w:val="000000" w:themeColor="text1"/>
              </w:rPr>
              <w:t xml:space="preserve"> / </w:t>
            </w:r>
            <w:r w:rsidR="00E47968">
              <w:rPr>
                <w:color w:val="000000" w:themeColor="text1"/>
              </w:rPr>
              <w:t>59</w:t>
            </w:r>
          </w:p>
        </w:tc>
        <w:tc>
          <w:tcPr>
            <w:tcW w:w="1503" w:type="dxa"/>
            <w:tcBorders>
              <w:top w:val="dotted" w:sz="4" w:space="0" w:color="auto"/>
              <w:bottom w:val="dotted" w:sz="4" w:space="0" w:color="auto"/>
            </w:tcBorders>
          </w:tcPr>
          <w:p w:rsidR="005979D5" w:rsidRDefault="00C5739D" w:rsidP="005979D5">
            <w:pPr>
              <w:pBdr>
                <w:top w:val="none" w:sz="0" w:space="0" w:color="auto"/>
                <w:left w:val="none" w:sz="0" w:space="0" w:color="auto"/>
                <w:bottom w:val="none" w:sz="0" w:space="0" w:color="auto"/>
                <w:right w:val="none" w:sz="0" w:space="0" w:color="auto"/>
                <w:between w:val="none" w:sz="0" w:space="0" w:color="auto"/>
              </w:pBdr>
              <w:spacing w:line="276" w:lineRule="auto"/>
              <w:jc w:val="center"/>
              <w:rPr>
                <w:color w:val="000000" w:themeColor="text1"/>
              </w:rPr>
            </w:pPr>
            <w:r>
              <w:rPr>
                <w:color w:val="000000" w:themeColor="text1"/>
              </w:rPr>
              <w:t>12</w:t>
            </w:r>
            <w:r w:rsidR="00CC4924">
              <w:rPr>
                <w:color w:val="000000" w:themeColor="text1"/>
              </w:rPr>
              <w:t xml:space="preserve"> / </w:t>
            </w:r>
            <w:r>
              <w:rPr>
                <w:color w:val="000000" w:themeColor="text1"/>
              </w:rPr>
              <w:t>177</w:t>
            </w:r>
          </w:p>
        </w:tc>
      </w:tr>
      <w:tr w:rsidR="005979D5" w:rsidTr="002A5169">
        <w:tc>
          <w:tcPr>
            <w:tcW w:w="1502" w:type="dxa"/>
            <w:tcBorders>
              <w:top w:val="dotted" w:sz="4" w:space="0" w:color="auto"/>
              <w:bottom w:val="dotted" w:sz="4" w:space="0" w:color="auto"/>
            </w:tcBorders>
          </w:tcPr>
          <w:p w:rsidR="005979D5" w:rsidRDefault="005A479F" w:rsidP="005979D5">
            <w:pPr>
              <w:pBdr>
                <w:top w:val="none" w:sz="0" w:space="0" w:color="auto"/>
                <w:left w:val="none" w:sz="0" w:space="0" w:color="auto"/>
                <w:bottom w:val="none" w:sz="0" w:space="0" w:color="auto"/>
                <w:right w:val="none" w:sz="0" w:space="0" w:color="auto"/>
                <w:between w:val="none" w:sz="0" w:space="0" w:color="auto"/>
              </w:pBdr>
              <w:spacing w:line="276" w:lineRule="auto"/>
              <w:jc w:val="center"/>
              <w:rPr>
                <w:color w:val="000000" w:themeColor="text1"/>
              </w:rPr>
            </w:pPr>
            <w:r>
              <w:rPr>
                <w:color w:val="000000" w:themeColor="text1"/>
              </w:rPr>
              <w:t>165</w:t>
            </w:r>
            <w:r w:rsidR="005979D5">
              <w:rPr>
                <w:color w:val="000000" w:themeColor="text1"/>
              </w:rPr>
              <w:t>1-1662</w:t>
            </w:r>
          </w:p>
        </w:tc>
        <w:tc>
          <w:tcPr>
            <w:tcW w:w="1502" w:type="dxa"/>
            <w:tcBorders>
              <w:top w:val="dotted" w:sz="4" w:space="0" w:color="auto"/>
              <w:bottom w:val="dotted" w:sz="4" w:space="0" w:color="auto"/>
            </w:tcBorders>
          </w:tcPr>
          <w:p w:rsidR="005979D5" w:rsidRDefault="005A479F" w:rsidP="005979D5">
            <w:pPr>
              <w:pBdr>
                <w:top w:val="none" w:sz="0" w:space="0" w:color="auto"/>
                <w:left w:val="none" w:sz="0" w:space="0" w:color="auto"/>
                <w:bottom w:val="none" w:sz="0" w:space="0" w:color="auto"/>
                <w:right w:val="none" w:sz="0" w:space="0" w:color="auto"/>
                <w:between w:val="none" w:sz="0" w:space="0" w:color="auto"/>
              </w:pBdr>
              <w:spacing w:line="276" w:lineRule="auto"/>
              <w:jc w:val="center"/>
              <w:rPr>
                <w:color w:val="000000" w:themeColor="text1"/>
              </w:rPr>
            </w:pPr>
            <w:r>
              <w:rPr>
                <w:color w:val="000000" w:themeColor="text1"/>
              </w:rPr>
              <w:t>23</w:t>
            </w:r>
            <w:r w:rsidR="00CC4924">
              <w:rPr>
                <w:color w:val="000000" w:themeColor="text1"/>
              </w:rPr>
              <w:t xml:space="preserve"> / </w:t>
            </w:r>
            <w:r>
              <w:rPr>
                <w:color w:val="000000" w:themeColor="text1"/>
              </w:rPr>
              <w:t>117</w:t>
            </w:r>
          </w:p>
        </w:tc>
        <w:tc>
          <w:tcPr>
            <w:tcW w:w="1503" w:type="dxa"/>
            <w:tcBorders>
              <w:top w:val="dotted" w:sz="4" w:space="0" w:color="auto"/>
              <w:bottom w:val="dotted" w:sz="4" w:space="0" w:color="auto"/>
            </w:tcBorders>
          </w:tcPr>
          <w:p w:rsidR="005979D5" w:rsidRDefault="00CC4924" w:rsidP="005979D5">
            <w:pPr>
              <w:pBdr>
                <w:top w:val="none" w:sz="0" w:space="0" w:color="auto"/>
                <w:left w:val="none" w:sz="0" w:space="0" w:color="auto"/>
                <w:bottom w:val="none" w:sz="0" w:space="0" w:color="auto"/>
                <w:right w:val="none" w:sz="0" w:space="0" w:color="auto"/>
                <w:between w:val="none" w:sz="0" w:space="0" w:color="auto"/>
              </w:pBdr>
              <w:spacing w:line="276" w:lineRule="auto"/>
              <w:jc w:val="center"/>
              <w:rPr>
                <w:color w:val="000000" w:themeColor="text1"/>
              </w:rPr>
            </w:pPr>
            <w:r>
              <w:rPr>
                <w:color w:val="000000" w:themeColor="text1"/>
              </w:rPr>
              <w:t xml:space="preserve">2 / </w:t>
            </w:r>
            <w:r w:rsidR="005979D5">
              <w:rPr>
                <w:color w:val="000000" w:themeColor="text1"/>
              </w:rPr>
              <w:t>41</w:t>
            </w:r>
          </w:p>
        </w:tc>
        <w:tc>
          <w:tcPr>
            <w:tcW w:w="1503" w:type="dxa"/>
            <w:tcBorders>
              <w:top w:val="dotted" w:sz="4" w:space="0" w:color="auto"/>
              <w:bottom w:val="dotted" w:sz="4" w:space="0" w:color="auto"/>
            </w:tcBorders>
          </w:tcPr>
          <w:p w:rsidR="005979D5" w:rsidRDefault="00CC4924" w:rsidP="00E41920">
            <w:pPr>
              <w:pBdr>
                <w:top w:val="none" w:sz="0" w:space="0" w:color="auto"/>
                <w:left w:val="none" w:sz="0" w:space="0" w:color="auto"/>
                <w:bottom w:val="none" w:sz="0" w:space="0" w:color="auto"/>
                <w:right w:val="none" w:sz="0" w:space="0" w:color="auto"/>
                <w:between w:val="none" w:sz="0" w:space="0" w:color="auto"/>
              </w:pBdr>
              <w:spacing w:line="276" w:lineRule="auto"/>
              <w:jc w:val="center"/>
              <w:rPr>
                <w:color w:val="000000" w:themeColor="text1"/>
              </w:rPr>
            </w:pPr>
            <w:r>
              <w:rPr>
                <w:color w:val="000000" w:themeColor="text1"/>
              </w:rPr>
              <w:t>1</w:t>
            </w:r>
            <w:r w:rsidR="00E41920">
              <w:rPr>
                <w:color w:val="000000" w:themeColor="text1"/>
              </w:rPr>
              <w:t>8</w:t>
            </w:r>
            <w:r>
              <w:rPr>
                <w:color w:val="000000" w:themeColor="text1"/>
              </w:rPr>
              <w:t xml:space="preserve"> / </w:t>
            </w:r>
            <w:r w:rsidR="00EE2BA9">
              <w:rPr>
                <w:color w:val="000000" w:themeColor="text1"/>
              </w:rPr>
              <w:t>83</w:t>
            </w:r>
          </w:p>
        </w:tc>
        <w:tc>
          <w:tcPr>
            <w:tcW w:w="1503" w:type="dxa"/>
            <w:tcBorders>
              <w:top w:val="dotted" w:sz="4" w:space="0" w:color="auto"/>
              <w:bottom w:val="dotted" w:sz="4" w:space="0" w:color="auto"/>
            </w:tcBorders>
          </w:tcPr>
          <w:p w:rsidR="005979D5" w:rsidRDefault="005A479F" w:rsidP="005979D5">
            <w:pPr>
              <w:pBdr>
                <w:top w:val="none" w:sz="0" w:space="0" w:color="auto"/>
                <w:left w:val="none" w:sz="0" w:space="0" w:color="auto"/>
                <w:bottom w:val="none" w:sz="0" w:space="0" w:color="auto"/>
                <w:right w:val="none" w:sz="0" w:space="0" w:color="auto"/>
                <w:between w:val="none" w:sz="0" w:space="0" w:color="auto"/>
              </w:pBdr>
              <w:spacing w:line="276" w:lineRule="auto"/>
              <w:jc w:val="center"/>
              <w:rPr>
                <w:color w:val="000000" w:themeColor="text1"/>
              </w:rPr>
            </w:pPr>
            <w:r>
              <w:rPr>
                <w:color w:val="000000" w:themeColor="text1"/>
              </w:rPr>
              <w:t>8</w:t>
            </w:r>
            <w:r w:rsidR="00CC4924">
              <w:rPr>
                <w:color w:val="000000" w:themeColor="text1"/>
              </w:rPr>
              <w:t xml:space="preserve"> / </w:t>
            </w:r>
            <w:r>
              <w:rPr>
                <w:color w:val="000000" w:themeColor="text1"/>
              </w:rPr>
              <w:t>41</w:t>
            </w:r>
          </w:p>
        </w:tc>
        <w:tc>
          <w:tcPr>
            <w:tcW w:w="1503" w:type="dxa"/>
            <w:tcBorders>
              <w:top w:val="dotted" w:sz="4" w:space="0" w:color="auto"/>
              <w:bottom w:val="dotted" w:sz="4" w:space="0" w:color="auto"/>
            </w:tcBorders>
          </w:tcPr>
          <w:p w:rsidR="005979D5" w:rsidRDefault="00CC4924" w:rsidP="005979D5">
            <w:pPr>
              <w:pBdr>
                <w:top w:val="none" w:sz="0" w:space="0" w:color="auto"/>
                <w:left w:val="none" w:sz="0" w:space="0" w:color="auto"/>
                <w:bottom w:val="none" w:sz="0" w:space="0" w:color="auto"/>
                <w:right w:val="none" w:sz="0" w:space="0" w:color="auto"/>
                <w:between w:val="none" w:sz="0" w:space="0" w:color="auto"/>
              </w:pBdr>
              <w:spacing w:line="276" w:lineRule="auto"/>
              <w:jc w:val="center"/>
              <w:rPr>
                <w:color w:val="000000" w:themeColor="text1"/>
              </w:rPr>
            </w:pPr>
            <w:r>
              <w:rPr>
                <w:color w:val="000000" w:themeColor="text1"/>
              </w:rPr>
              <w:t xml:space="preserve">9 / </w:t>
            </w:r>
            <w:r w:rsidR="005979D5">
              <w:rPr>
                <w:color w:val="000000" w:themeColor="text1"/>
              </w:rPr>
              <w:t>57</w:t>
            </w:r>
          </w:p>
        </w:tc>
      </w:tr>
      <w:tr w:rsidR="005979D5" w:rsidTr="002A5169">
        <w:tc>
          <w:tcPr>
            <w:tcW w:w="1502" w:type="dxa"/>
            <w:tcBorders>
              <w:top w:val="dotted" w:sz="4" w:space="0" w:color="auto"/>
              <w:bottom w:val="dotted" w:sz="4" w:space="0" w:color="auto"/>
            </w:tcBorders>
          </w:tcPr>
          <w:p w:rsidR="005979D5" w:rsidRDefault="005979D5" w:rsidP="005979D5">
            <w:pPr>
              <w:pBdr>
                <w:top w:val="none" w:sz="0" w:space="0" w:color="auto"/>
                <w:left w:val="none" w:sz="0" w:space="0" w:color="auto"/>
                <w:bottom w:val="none" w:sz="0" w:space="0" w:color="auto"/>
                <w:right w:val="none" w:sz="0" w:space="0" w:color="auto"/>
                <w:between w:val="none" w:sz="0" w:space="0" w:color="auto"/>
              </w:pBdr>
              <w:spacing w:line="276" w:lineRule="auto"/>
              <w:jc w:val="center"/>
              <w:rPr>
                <w:color w:val="000000" w:themeColor="text1"/>
              </w:rPr>
            </w:pPr>
            <w:r>
              <w:rPr>
                <w:color w:val="000000" w:themeColor="text1"/>
              </w:rPr>
              <w:t>1680-1690</w:t>
            </w:r>
          </w:p>
        </w:tc>
        <w:tc>
          <w:tcPr>
            <w:tcW w:w="1502" w:type="dxa"/>
            <w:tcBorders>
              <w:top w:val="dotted" w:sz="4" w:space="0" w:color="auto"/>
              <w:bottom w:val="dotted" w:sz="4" w:space="0" w:color="auto"/>
            </w:tcBorders>
          </w:tcPr>
          <w:p w:rsidR="005979D5" w:rsidRDefault="00645471" w:rsidP="007766F5">
            <w:pPr>
              <w:pBdr>
                <w:top w:val="none" w:sz="0" w:space="0" w:color="auto"/>
                <w:left w:val="none" w:sz="0" w:space="0" w:color="auto"/>
                <w:bottom w:val="none" w:sz="0" w:space="0" w:color="auto"/>
                <w:right w:val="none" w:sz="0" w:space="0" w:color="auto"/>
                <w:between w:val="none" w:sz="0" w:space="0" w:color="auto"/>
              </w:pBdr>
              <w:spacing w:line="276" w:lineRule="auto"/>
              <w:jc w:val="center"/>
              <w:rPr>
                <w:color w:val="000000" w:themeColor="text1"/>
              </w:rPr>
            </w:pPr>
            <w:r>
              <w:rPr>
                <w:color w:val="000000" w:themeColor="text1"/>
              </w:rPr>
              <w:t>4</w:t>
            </w:r>
            <w:r w:rsidR="009D74C0">
              <w:rPr>
                <w:color w:val="000000" w:themeColor="text1"/>
              </w:rPr>
              <w:t>0</w:t>
            </w:r>
            <w:r w:rsidR="00CC4924">
              <w:rPr>
                <w:color w:val="000000" w:themeColor="text1"/>
              </w:rPr>
              <w:t xml:space="preserve"> / </w:t>
            </w:r>
            <w:r w:rsidR="00065429">
              <w:rPr>
                <w:color w:val="000000" w:themeColor="text1"/>
              </w:rPr>
              <w:t>210</w:t>
            </w:r>
          </w:p>
        </w:tc>
        <w:tc>
          <w:tcPr>
            <w:tcW w:w="1503" w:type="dxa"/>
            <w:tcBorders>
              <w:top w:val="dotted" w:sz="4" w:space="0" w:color="auto"/>
              <w:bottom w:val="dotted" w:sz="4" w:space="0" w:color="auto"/>
            </w:tcBorders>
          </w:tcPr>
          <w:p w:rsidR="005979D5" w:rsidRDefault="00CC4924" w:rsidP="005979D5">
            <w:pPr>
              <w:pBdr>
                <w:top w:val="none" w:sz="0" w:space="0" w:color="auto"/>
                <w:left w:val="none" w:sz="0" w:space="0" w:color="auto"/>
                <w:bottom w:val="none" w:sz="0" w:space="0" w:color="auto"/>
                <w:right w:val="none" w:sz="0" w:space="0" w:color="auto"/>
                <w:between w:val="none" w:sz="0" w:space="0" w:color="auto"/>
              </w:pBdr>
              <w:spacing w:line="276" w:lineRule="auto"/>
              <w:jc w:val="center"/>
              <w:rPr>
                <w:color w:val="000000" w:themeColor="text1"/>
              </w:rPr>
            </w:pPr>
            <w:r>
              <w:rPr>
                <w:color w:val="000000" w:themeColor="text1"/>
              </w:rPr>
              <w:t xml:space="preserve">4 / </w:t>
            </w:r>
            <w:r w:rsidR="005979D5">
              <w:rPr>
                <w:color w:val="000000" w:themeColor="text1"/>
              </w:rPr>
              <w:t>13</w:t>
            </w:r>
          </w:p>
        </w:tc>
        <w:tc>
          <w:tcPr>
            <w:tcW w:w="1503" w:type="dxa"/>
            <w:tcBorders>
              <w:top w:val="dotted" w:sz="4" w:space="0" w:color="auto"/>
              <w:bottom w:val="dotted" w:sz="4" w:space="0" w:color="auto"/>
            </w:tcBorders>
          </w:tcPr>
          <w:p w:rsidR="005979D5" w:rsidRDefault="00CC4924" w:rsidP="005979D5">
            <w:pPr>
              <w:pBdr>
                <w:top w:val="none" w:sz="0" w:space="0" w:color="auto"/>
                <w:left w:val="none" w:sz="0" w:space="0" w:color="auto"/>
                <w:bottom w:val="none" w:sz="0" w:space="0" w:color="auto"/>
                <w:right w:val="none" w:sz="0" w:space="0" w:color="auto"/>
                <w:between w:val="none" w:sz="0" w:space="0" w:color="auto"/>
              </w:pBdr>
              <w:spacing w:line="276" w:lineRule="auto"/>
              <w:jc w:val="center"/>
              <w:rPr>
                <w:color w:val="000000" w:themeColor="text1"/>
              </w:rPr>
            </w:pPr>
            <w:r>
              <w:rPr>
                <w:color w:val="000000" w:themeColor="text1"/>
              </w:rPr>
              <w:t xml:space="preserve">14 / </w:t>
            </w:r>
            <w:r w:rsidR="005979D5">
              <w:rPr>
                <w:color w:val="000000" w:themeColor="text1"/>
              </w:rPr>
              <w:t>1</w:t>
            </w:r>
            <w:r w:rsidR="00493F61">
              <w:rPr>
                <w:color w:val="000000" w:themeColor="text1"/>
              </w:rPr>
              <w:t>10</w:t>
            </w:r>
          </w:p>
        </w:tc>
        <w:tc>
          <w:tcPr>
            <w:tcW w:w="1503" w:type="dxa"/>
            <w:tcBorders>
              <w:top w:val="dotted" w:sz="4" w:space="0" w:color="auto"/>
              <w:bottom w:val="dotted" w:sz="4" w:space="0" w:color="auto"/>
            </w:tcBorders>
          </w:tcPr>
          <w:p w:rsidR="005979D5" w:rsidRDefault="004A6A05" w:rsidP="00645471">
            <w:pPr>
              <w:pBdr>
                <w:top w:val="none" w:sz="0" w:space="0" w:color="auto"/>
                <w:left w:val="none" w:sz="0" w:space="0" w:color="auto"/>
                <w:bottom w:val="none" w:sz="0" w:space="0" w:color="auto"/>
                <w:right w:val="none" w:sz="0" w:space="0" w:color="auto"/>
                <w:between w:val="none" w:sz="0" w:space="0" w:color="auto"/>
              </w:pBdr>
              <w:spacing w:line="276" w:lineRule="auto"/>
              <w:jc w:val="center"/>
              <w:rPr>
                <w:color w:val="000000" w:themeColor="text1"/>
              </w:rPr>
            </w:pPr>
            <w:r>
              <w:rPr>
                <w:color w:val="000000" w:themeColor="text1"/>
              </w:rPr>
              <w:t>1</w:t>
            </w:r>
            <w:r w:rsidR="004B09FA">
              <w:rPr>
                <w:color w:val="000000" w:themeColor="text1"/>
              </w:rPr>
              <w:t>4</w:t>
            </w:r>
            <w:r w:rsidR="00CC4924">
              <w:rPr>
                <w:color w:val="000000" w:themeColor="text1"/>
              </w:rPr>
              <w:t xml:space="preserve"> / </w:t>
            </w:r>
            <w:r w:rsidR="004B09FA">
              <w:rPr>
                <w:color w:val="000000" w:themeColor="text1"/>
              </w:rPr>
              <w:t>36</w:t>
            </w:r>
          </w:p>
        </w:tc>
        <w:tc>
          <w:tcPr>
            <w:tcW w:w="1503" w:type="dxa"/>
            <w:tcBorders>
              <w:top w:val="dotted" w:sz="4" w:space="0" w:color="auto"/>
              <w:bottom w:val="dotted" w:sz="4" w:space="0" w:color="auto"/>
            </w:tcBorders>
          </w:tcPr>
          <w:p w:rsidR="00CC4924" w:rsidRDefault="00CC4924" w:rsidP="00C5739D">
            <w:pPr>
              <w:pBdr>
                <w:top w:val="none" w:sz="0" w:space="0" w:color="auto"/>
                <w:left w:val="none" w:sz="0" w:space="0" w:color="auto"/>
                <w:bottom w:val="none" w:sz="0" w:space="0" w:color="auto"/>
                <w:right w:val="none" w:sz="0" w:space="0" w:color="auto"/>
                <w:between w:val="none" w:sz="0" w:space="0" w:color="auto"/>
              </w:pBdr>
              <w:spacing w:line="276" w:lineRule="auto"/>
              <w:jc w:val="center"/>
              <w:rPr>
                <w:color w:val="000000" w:themeColor="text1"/>
              </w:rPr>
            </w:pPr>
            <w:r>
              <w:rPr>
                <w:color w:val="000000" w:themeColor="text1"/>
              </w:rPr>
              <w:t>2</w:t>
            </w:r>
            <w:r w:rsidR="00F6312B">
              <w:rPr>
                <w:color w:val="000000" w:themeColor="text1"/>
              </w:rPr>
              <w:t>3</w:t>
            </w:r>
            <w:r>
              <w:rPr>
                <w:color w:val="000000" w:themeColor="text1"/>
              </w:rPr>
              <w:t xml:space="preserve"> / </w:t>
            </w:r>
            <w:r w:rsidR="005979D5">
              <w:rPr>
                <w:color w:val="000000" w:themeColor="text1"/>
              </w:rPr>
              <w:t>1</w:t>
            </w:r>
            <w:r>
              <w:rPr>
                <w:color w:val="000000" w:themeColor="text1"/>
              </w:rPr>
              <w:t>56</w:t>
            </w:r>
          </w:p>
        </w:tc>
      </w:tr>
      <w:tr w:rsidR="005979D5" w:rsidTr="002A5169">
        <w:tc>
          <w:tcPr>
            <w:tcW w:w="1502" w:type="dxa"/>
            <w:tcBorders>
              <w:top w:val="dotted" w:sz="4" w:space="0" w:color="auto"/>
            </w:tcBorders>
          </w:tcPr>
          <w:p w:rsidR="005979D5" w:rsidRDefault="005979D5" w:rsidP="005979D5">
            <w:pPr>
              <w:pBdr>
                <w:top w:val="none" w:sz="0" w:space="0" w:color="auto"/>
                <w:left w:val="none" w:sz="0" w:space="0" w:color="auto"/>
                <w:bottom w:val="none" w:sz="0" w:space="0" w:color="auto"/>
                <w:right w:val="none" w:sz="0" w:space="0" w:color="auto"/>
                <w:between w:val="none" w:sz="0" w:space="0" w:color="auto"/>
              </w:pBdr>
              <w:spacing w:line="276" w:lineRule="auto"/>
              <w:jc w:val="center"/>
              <w:rPr>
                <w:color w:val="000000" w:themeColor="text1"/>
              </w:rPr>
            </w:pPr>
            <w:r>
              <w:rPr>
                <w:color w:val="000000" w:themeColor="text1"/>
              </w:rPr>
              <w:t>Total</w:t>
            </w:r>
          </w:p>
        </w:tc>
        <w:tc>
          <w:tcPr>
            <w:tcW w:w="1502" w:type="dxa"/>
            <w:tcBorders>
              <w:top w:val="dotted" w:sz="4" w:space="0" w:color="auto"/>
            </w:tcBorders>
          </w:tcPr>
          <w:p w:rsidR="005979D5" w:rsidRDefault="00CC4924" w:rsidP="00E72458">
            <w:pPr>
              <w:pBdr>
                <w:top w:val="none" w:sz="0" w:space="0" w:color="auto"/>
                <w:left w:val="none" w:sz="0" w:space="0" w:color="auto"/>
                <w:bottom w:val="none" w:sz="0" w:space="0" w:color="auto"/>
                <w:right w:val="none" w:sz="0" w:space="0" w:color="auto"/>
                <w:between w:val="none" w:sz="0" w:space="0" w:color="auto"/>
              </w:pBdr>
              <w:spacing w:line="276" w:lineRule="auto"/>
              <w:jc w:val="center"/>
              <w:rPr>
                <w:color w:val="000000" w:themeColor="text1"/>
              </w:rPr>
            </w:pPr>
            <w:r>
              <w:rPr>
                <w:color w:val="000000" w:themeColor="text1"/>
              </w:rPr>
              <w:t>7</w:t>
            </w:r>
            <w:r w:rsidR="00C5032C">
              <w:rPr>
                <w:color w:val="000000" w:themeColor="text1"/>
              </w:rPr>
              <w:t>8</w:t>
            </w:r>
            <w:r>
              <w:rPr>
                <w:color w:val="000000" w:themeColor="text1"/>
              </w:rPr>
              <w:t xml:space="preserve"> / </w:t>
            </w:r>
            <w:r w:rsidR="00065429">
              <w:rPr>
                <w:color w:val="000000" w:themeColor="text1"/>
              </w:rPr>
              <w:t>458</w:t>
            </w:r>
          </w:p>
        </w:tc>
        <w:tc>
          <w:tcPr>
            <w:tcW w:w="1503" w:type="dxa"/>
            <w:tcBorders>
              <w:top w:val="dotted" w:sz="4" w:space="0" w:color="auto"/>
            </w:tcBorders>
          </w:tcPr>
          <w:p w:rsidR="005979D5" w:rsidRDefault="00CC4924" w:rsidP="005979D5">
            <w:pPr>
              <w:pBdr>
                <w:top w:val="none" w:sz="0" w:space="0" w:color="auto"/>
                <w:left w:val="none" w:sz="0" w:space="0" w:color="auto"/>
                <w:bottom w:val="none" w:sz="0" w:space="0" w:color="auto"/>
                <w:right w:val="none" w:sz="0" w:space="0" w:color="auto"/>
                <w:between w:val="none" w:sz="0" w:space="0" w:color="auto"/>
              </w:pBdr>
              <w:spacing w:line="276" w:lineRule="auto"/>
              <w:jc w:val="center"/>
              <w:rPr>
                <w:color w:val="000000" w:themeColor="text1"/>
              </w:rPr>
            </w:pPr>
            <w:r>
              <w:rPr>
                <w:color w:val="000000" w:themeColor="text1"/>
              </w:rPr>
              <w:t xml:space="preserve">9 / </w:t>
            </w:r>
            <w:r w:rsidR="00C5739D">
              <w:rPr>
                <w:color w:val="000000" w:themeColor="text1"/>
              </w:rPr>
              <w:t>244</w:t>
            </w:r>
          </w:p>
        </w:tc>
        <w:tc>
          <w:tcPr>
            <w:tcW w:w="1503" w:type="dxa"/>
            <w:tcBorders>
              <w:top w:val="dotted" w:sz="4" w:space="0" w:color="auto"/>
            </w:tcBorders>
          </w:tcPr>
          <w:p w:rsidR="005979D5" w:rsidRDefault="00CC4924" w:rsidP="00414535">
            <w:pPr>
              <w:pBdr>
                <w:top w:val="none" w:sz="0" w:space="0" w:color="auto"/>
                <w:left w:val="none" w:sz="0" w:space="0" w:color="auto"/>
                <w:bottom w:val="none" w:sz="0" w:space="0" w:color="auto"/>
                <w:right w:val="none" w:sz="0" w:space="0" w:color="auto"/>
                <w:between w:val="none" w:sz="0" w:space="0" w:color="auto"/>
              </w:pBdr>
              <w:spacing w:line="276" w:lineRule="auto"/>
              <w:jc w:val="center"/>
              <w:rPr>
                <w:color w:val="000000" w:themeColor="text1"/>
              </w:rPr>
            </w:pPr>
            <w:r>
              <w:rPr>
                <w:color w:val="000000" w:themeColor="text1"/>
              </w:rPr>
              <w:t>5</w:t>
            </w:r>
            <w:r w:rsidR="00414535">
              <w:rPr>
                <w:color w:val="000000" w:themeColor="text1"/>
              </w:rPr>
              <w:t>7</w:t>
            </w:r>
            <w:r w:rsidR="0096015C">
              <w:rPr>
                <w:color w:val="000000" w:themeColor="text1"/>
              </w:rPr>
              <w:t xml:space="preserve"> / 514</w:t>
            </w:r>
          </w:p>
        </w:tc>
        <w:tc>
          <w:tcPr>
            <w:tcW w:w="1503" w:type="dxa"/>
            <w:tcBorders>
              <w:top w:val="dotted" w:sz="4" w:space="0" w:color="auto"/>
            </w:tcBorders>
          </w:tcPr>
          <w:p w:rsidR="005979D5" w:rsidRDefault="00DD2BBE" w:rsidP="00832A44">
            <w:pPr>
              <w:pBdr>
                <w:top w:val="none" w:sz="0" w:space="0" w:color="auto"/>
                <w:left w:val="none" w:sz="0" w:space="0" w:color="auto"/>
                <w:bottom w:val="none" w:sz="0" w:space="0" w:color="auto"/>
                <w:right w:val="none" w:sz="0" w:space="0" w:color="auto"/>
                <w:between w:val="none" w:sz="0" w:space="0" w:color="auto"/>
              </w:pBdr>
              <w:spacing w:line="276" w:lineRule="auto"/>
              <w:jc w:val="center"/>
              <w:rPr>
                <w:color w:val="000000" w:themeColor="text1"/>
              </w:rPr>
            </w:pPr>
            <w:r>
              <w:rPr>
                <w:color w:val="000000" w:themeColor="text1"/>
              </w:rPr>
              <w:t>3</w:t>
            </w:r>
            <w:r w:rsidR="004B09FA">
              <w:rPr>
                <w:color w:val="000000" w:themeColor="text1"/>
              </w:rPr>
              <w:t>2</w:t>
            </w:r>
            <w:r w:rsidR="00CC4924">
              <w:rPr>
                <w:color w:val="000000" w:themeColor="text1"/>
              </w:rPr>
              <w:t xml:space="preserve"> / </w:t>
            </w:r>
            <w:r w:rsidR="004B09FA">
              <w:rPr>
                <w:color w:val="000000" w:themeColor="text1"/>
              </w:rPr>
              <w:t>140</w:t>
            </w:r>
          </w:p>
        </w:tc>
        <w:tc>
          <w:tcPr>
            <w:tcW w:w="1503" w:type="dxa"/>
            <w:tcBorders>
              <w:top w:val="dotted" w:sz="4" w:space="0" w:color="auto"/>
            </w:tcBorders>
          </w:tcPr>
          <w:p w:rsidR="005979D5" w:rsidRDefault="00C5739D" w:rsidP="00F6312B">
            <w:pPr>
              <w:pBdr>
                <w:top w:val="none" w:sz="0" w:space="0" w:color="auto"/>
                <w:left w:val="none" w:sz="0" w:space="0" w:color="auto"/>
                <w:bottom w:val="none" w:sz="0" w:space="0" w:color="auto"/>
                <w:right w:val="none" w:sz="0" w:space="0" w:color="auto"/>
                <w:between w:val="none" w:sz="0" w:space="0" w:color="auto"/>
              </w:pBdr>
              <w:spacing w:line="276" w:lineRule="auto"/>
              <w:jc w:val="center"/>
              <w:rPr>
                <w:color w:val="000000" w:themeColor="text1"/>
              </w:rPr>
            </w:pPr>
            <w:r>
              <w:rPr>
                <w:color w:val="000000" w:themeColor="text1"/>
              </w:rPr>
              <w:t>4</w:t>
            </w:r>
            <w:r w:rsidR="00F6312B">
              <w:rPr>
                <w:color w:val="000000" w:themeColor="text1"/>
              </w:rPr>
              <w:t>4</w:t>
            </w:r>
            <w:r>
              <w:rPr>
                <w:color w:val="000000" w:themeColor="text1"/>
              </w:rPr>
              <w:t xml:space="preserve"> / 390</w:t>
            </w:r>
          </w:p>
        </w:tc>
      </w:tr>
    </w:tbl>
    <w:p w:rsidR="00221661" w:rsidRDefault="00221661" w:rsidP="00221661">
      <w:pPr>
        <w:spacing w:line="360" w:lineRule="auto"/>
        <w:jc w:val="both"/>
        <w:rPr>
          <w:color w:val="000000" w:themeColor="text1"/>
        </w:rPr>
      </w:pPr>
    </w:p>
    <w:p w:rsidR="00FE22FD" w:rsidRDefault="000A3922" w:rsidP="00221661">
      <w:pPr>
        <w:spacing w:line="360" w:lineRule="auto"/>
        <w:ind w:firstLine="720"/>
        <w:jc w:val="both"/>
        <w:rPr>
          <w:color w:val="000000" w:themeColor="text1"/>
        </w:rPr>
      </w:pPr>
      <w:r>
        <w:rPr>
          <w:color w:val="000000" w:themeColor="text1"/>
        </w:rPr>
        <w:t>A further difficulty with this division is t</w:t>
      </w:r>
      <w:r w:rsidR="00221661">
        <w:rPr>
          <w:color w:val="000000" w:themeColor="text1"/>
        </w:rPr>
        <w:t>hat 19 voyages, representing 8.</w:t>
      </w:r>
      <w:r w:rsidR="004A6A78">
        <w:rPr>
          <w:color w:val="000000" w:themeColor="text1"/>
        </w:rPr>
        <w:t>6</w:t>
      </w:r>
      <w:r>
        <w:rPr>
          <w:color w:val="000000" w:themeColor="text1"/>
        </w:rPr>
        <w:t xml:space="preserve"> per cent of voyages and 10.</w:t>
      </w:r>
      <w:r w:rsidR="00A028C0">
        <w:rPr>
          <w:color w:val="000000" w:themeColor="text1"/>
        </w:rPr>
        <w:t>6</w:t>
      </w:r>
      <w:r>
        <w:rPr>
          <w:color w:val="000000" w:themeColor="text1"/>
        </w:rPr>
        <w:t xml:space="preserve"> per cent of entries, travelled across more than one region.</w:t>
      </w:r>
      <w:r w:rsidR="00EC365E">
        <w:rPr>
          <w:color w:val="000000" w:themeColor="text1"/>
        </w:rPr>
        <w:t xml:space="preserve"> In these cases the voyages have been assigned to the region in which, as far as it is possible to determine, they spent most of their voyage, or that they were originally intended for, because the intended destination of the voyage would have influenced the </w:t>
      </w:r>
      <w:r w:rsidR="00D47ED6">
        <w:rPr>
          <w:color w:val="000000" w:themeColor="text1"/>
        </w:rPr>
        <w:t xml:space="preserve">wage </w:t>
      </w:r>
      <w:r w:rsidR="00EC365E">
        <w:rPr>
          <w:color w:val="000000" w:themeColor="text1"/>
        </w:rPr>
        <w:t>contracts of the crew.</w:t>
      </w:r>
      <w:r>
        <w:rPr>
          <w:color w:val="000000" w:themeColor="text1"/>
        </w:rPr>
        <w:t xml:space="preserve"> </w:t>
      </w:r>
      <w:r w:rsidR="007D345D">
        <w:rPr>
          <w:color w:val="000000" w:themeColor="text1"/>
        </w:rPr>
        <w:t>This is inevitably</w:t>
      </w:r>
      <w:r w:rsidR="00FE22FD">
        <w:rPr>
          <w:color w:val="000000" w:themeColor="text1"/>
        </w:rPr>
        <w:t xml:space="preserve"> a subjective decision</w:t>
      </w:r>
      <w:r w:rsidR="007D345D">
        <w:rPr>
          <w:color w:val="000000" w:themeColor="text1"/>
        </w:rPr>
        <w:t>,</w:t>
      </w:r>
      <w:r w:rsidR="00FE22FD">
        <w:rPr>
          <w:color w:val="000000" w:themeColor="text1"/>
        </w:rPr>
        <w:t xml:space="preserve"> but the proportion of cross-regional voyages is relatively small for all samples except 1640-1650 (</w:t>
      </w:r>
      <w:r w:rsidR="007521CB">
        <w:rPr>
          <w:color w:val="000000" w:themeColor="text1"/>
        </w:rPr>
        <w:t>none</w:t>
      </w:r>
      <w:r w:rsidR="0071710A">
        <w:rPr>
          <w:color w:val="000000" w:themeColor="text1"/>
        </w:rPr>
        <w:t xml:space="preserve"> in 1589-92, 6</w:t>
      </w:r>
      <w:r w:rsidR="00FE22FD">
        <w:rPr>
          <w:color w:val="000000" w:themeColor="text1"/>
        </w:rPr>
        <w:t xml:space="preserve"> voyage</w:t>
      </w:r>
      <w:r w:rsidR="0071710A">
        <w:rPr>
          <w:color w:val="000000" w:themeColor="text1"/>
        </w:rPr>
        <w:t>s and 17 entries in 1651-1662, 4 voyages and 13</w:t>
      </w:r>
      <w:r w:rsidR="00FE22FD">
        <w:rPr>
          <w:color w:val="000000" w:themeColor="text1"/>
        </w:rPr>
        <w:t xml:space="preserve"> entries in 1680-1690)</w:t>
      </w:r>
      <w:r>
        <w:rPr>
          <w:color w:val="000000" w:themeColor="text1"/>
        </w:rPr>
        <w:t>,</w:t>
      </w:r>
      <w:r w:rsidR="00FE22FD">
        <w:rPr>
          <w:color w:val="000000" w:themeColor="text1"/>
        </w:rPr>
        <w:t xml:space="preserve"> and it is therefore unlikely that assigning these voyages differently would change the dataset substantially.</w:t>
      </w:r>
      <w:r w:rsidR="00456AF0">
        <w:rPr>
          <w:rStyle w:val="FootnoteReference"/>
          <w:color w:val="000000" w:themeColor="text1"/>
        </w:rPr>
        <w:footnoteReference w:id="41"/>
      </w:r>
      <w:r w:rsidR="00FE22FD">
        <w:rPr>
          <w:color w:val="000000" w:themeColor="text1"/>
        </w:rPr>
        <w:t xml:space="preserve"> </w:t>
      </w:r>
    </w:p>
    <w:p w:rsidR="0045231E" w:rsidRPr="00580756" w:rsidRDefault="00FE22FD" w:rsidP="000A3922">
      <w:pPr>
        <w:spacing w:line="360" w:lineRule="auto"/>
        <w:ind w:firstLine="720"/>
        <w:jc w:val="both"/>
      </w:pPr>
      <w:r>
        <w:rPr>
          <w:color w:val="000000" w:themeColor="text1"/>
        </w:rPr>
        <w:t xml:space="preserve">For the 1640-1650 </w:t>
      </w:r>
      <w:proofErr w:type="gramStart"/>
      <w:r>
        <w:rPr>
          <w:color w:val="000000" w:themeColor="text1"/>
        </w:rPr>
        <w:t>sample</w:t>
      </w:r>
      <w:proofErr w:type="gramEnd"/>
      <w:r>
        <w:rPr>
          <w:color w:val="000000" w:themeColor="text1"/>
        </w:rPr>
        <w:t xml:space="preserve">, </w:t>
      </w:r>
      <w:r w:rsidR="000A3922">
        <w:rPr>
          <w:color w:val="000000" w:themeColor="text1"/>
        </w:rPr>
        <w:t>155 entries (18.</w:t>
      </w:r>
      <w:r w:rsidR="0076657E">
        <w:rPr>
          <w:color w:val="000000" w:themeColor="text1"/>
        </w:rPr>
        <w:t>7</w:t>
      </w:r>
      <w:r w:rsidR="00C51FEE">
        <w:rPr>
          <w:color w:val="000000" w:themeColor="text1"/>
        </w:rPr>
        <w:t xml:space="preserve"> per cent of the sample) are from</w:t>
      </w:r>
      <w:r w:rsidR="000A3922">
        <w:rPr>
          <w:color w:val="000000" w:themeColor="text1"/>
        </w:rPr>
        <w:t xml:space="preserve"> voyages to more than one region.</w:t>
      </w:r>
      <w:r w:rsidR="00D27419">
        <w:rPr>
          <w:rStyle w:val="FootnoteReference"/>
          <w:color w:val="000000" w:themeColor="text1"/>
        </w:rPr>
        <w:footnoteReference w:id="42"/>
      </w:r>
      <w:r w:rsidR="000A3922">
        <w:rPr>
          <w:color w:val="000000" w:themeColor="text1"/>
        </w:rPr>
        <w:t xml:space="preserve"> </w:t>
      </w:r>
      <w:r w:rsidR="00BD4A56">
        <w:rPr>
          <w:color w:val="000000" w:themeColor="text1"/>
        </w:rPr>
        <w:t xml:space="preserve">However, 134 of these entries are from just two </w:t>
      </w:r>
      <w:r w:rsidR="00BD4A56">
        <w:rPr>
          <w:color w:val="000000" w:themeColor="text1"/>
        </w:rPr>
        <w:lastRenderedPageBreak/>
        <w:t xml:space="preserve">voyages, </w:t>
      </w:r>
      <w:r w:rsidR="009B36F5">
        <w:t xml:space="preserve">the </w:t>
      </w:r>
      <w:r w:rsidR="009B36F5">
        <w:rPr>
          <w:i/>
        </w:rPr>
        <w:t xml:space="preserve">Lewes </w:t>
      </w:r>
      <w:r w:rsidR="009B36F5">
        <w:t xml:space="preserve">(34 entries) and </w:t>
      </w:r>
      <w:r w:rsidR="00BD4A56">
        <w:rPr>
          <w:color w:val="000000" w:themeColor="text1"/>
        </w:rPr>
        <w:t xml:space="preserve">the </w:t>
      </w:r>
      <w:r w:rsidR="00BD4A56">
        <w:rPr>
          <w:i/>
          <w:color w:val="000000" w:themeColor="text1"/>
        </w:rPr>
        <w:t>William</w:t>
      </w:r>
      <w:r w:rsidR="009B36F5">
        <w:t xml:space="preserve"> (100 entries)</w:t>
      </w:r>
      <w:r w:rsidR="00BD4A56">
        <w:t>.</w:t>
      </w:r>
      <w:r w:rsidR="00982CD2">
        <w:rPr>
          <w:rStyle w:val="FootnoteReference"/>
        </w:rPr>
        <w:footnoteReference w:id="43"/>
      </w:r>
      <w:r w:rsidR="00BD4A56">
        <w:t xml:space="preserve"> </w:t>
      </w:r>
      <w:r w:rsidR="00580756">
        <w:t xml:space="preserve">The </w:t>
      </w:r>
      <w:r w:rsidR="009B36F5">
        <w:rPr>
          <w:i/>
        </w:rPr>
        <w:t xml:space="preserve">Lewes </w:t>
      </w:r>
      <w:r w:rsidR="009B36F5">
        <w:t>sailed to Lisbon, Alicante, Genoa, Venice and Zante, and then to Amsterdam, and is therefore categorised as a Mediterranean voyage; the</w:t>
      </w:r>
      <w:r w:rsidR="009B36F5">
        <w:rPr>
          <w:i/>
        </w:rPr>
        <w:t xml:space="preserve"> </w:t>
      </w:r>
      <w:r w:rsidR="00580756">
        <w:rPr>
          <w:i/>
        </w:rPr>
        <w:t xml:space="preserve">William </w:t>
      </w:r>
      <w:r w:rsidR="00580756">
        <w:t>sailed to India and China, then put into Alicante and Livorno during the return journey, and is therefore categoris</w:t>
      </w:r>
      <w:r w:rsidR="009B36F5">
        <w:t>ed as an Indian Ocean voyage</w:t>
      </w:r>
      <w:r w:rsidR="00580756">
        <w:t>.</w:t>
      </w:r>
      <w:r w:rsidR="00FC3463">
        <w:t xml:space="preserve"> </w:t>
      </w:r>
      <w:proofErr w:type="gramStart"/>
      <w:r w:rsidR="00FC3463">
        <w:t xml:space="preserve">If </w:t>
      </w:r>
      <w:r w:rsidR="00235D1C">
        <w:t xml:space="preserve">these two voyages are excluded </w:t>
      </w:r>
      <w:r w:rsidR="00FC3463">
        <w:t xml:space="preserve">then cross-regional voyages account for only 2.9 per cent of wage entries </w:t>
      </w:r>
      <w:r w:rsidR="00D8345B">
        <w:t>in the dataset.</w:t>
      </w:r>
      <w:proofErr w:type="gramEnd"/>
    </w:p>
    <w:p w:rsidR="00836D20" w:rsidRPr="005A045D" w:rsidRDefault="00836D20" w:rsidP="00080E50">
      <w:pPr>
        <w:spacing w:line="360" w:lineRule="auto"/>
        <w:jc w:val="both"/>
      </w:pPr>
    </w:p>
    <w:p w:rsidR="00836D20" w:rsidRPr="005A045D" w:rsidRDefault="009451D9" w:rsidP="00AC29D4">
      <w:pPr>
        <w:spacing w:line="360" w:lineRule="auto"/>
        <w:ind w:firstLine="720"/>
        <w:jc w:val="both"/>
        <w:rPr>
          <w:b/>
        </w:rPr>
      </w:pPr>
      <w:r w:rsidRPr="005A045D">
        <w:rPr>
          <w:b/>
        </w:rPr>
        <w:t xml:space="preserve">Currencies &amp; </w:t>
      </w:r>
      <w:r w:rsidR="003108D1">
        <w:rPr>
          <w:b/>
        </w:rPr>
        <w:t>Conversion R</w:t>
      </w:r>
      <w:r w:rsidR="00836D20" w:rsidRPr="005A045D">
        <w:rPr>
          <w:b/>
        </w:rPr>
        <w:t>ates</w:t>
      </w:r>
    </w:p>
    <w:p w:rsidR="00B90C47" w:rsidRPr="00833774" w:rsidRDefault="000B2441" w:rsidP="00080E50">
      <w:pPr>
        <w:spacing w:line="360" w:lineRule="auto"/>
        <w:jc w:val="both"/>
        <w:rPr>
          <w:rFonts w:cs="Times New Roman"/>
        </w:rPr>
      </w:pPr>
      <w:r>
        <w:rPr>
          <w:rFonts w:cs="Times New Roman"/>
        </w:rPr>
        <w:t>Wages in the admiralty court were usually rendered in pounds, shillings and pence, but a</w:t>
      </w:r>
      <w:r w:rsidR="00924DEF">
        <w:rPr>
          <w:rFonts w:cs="Times New Roman"/>
        </w:rPr>
        <w:t>ll wages are presented</w:t>
      </w:r>
      <w:r>
        <w:rPr>
          <w:rFonts w:cs="Times New Roman"/>
        </w:rPr>
        <w:t xml:space="preserve"> in the</w:t>
      </w:r>
      <w:r w:rsidR="003D06AA">
        <w:rPr>
          <w:rFonts w:cs="Times New Roman"/>
        </w:rPr>
        <w:t xml:space="preserve"> </w:t>
      </w:r>
      <w:r w:rsidR="003D06AA">
        <w:rPr>
          <w:rFonts w:cs="Times New Roman"/>
          <w:b/>
        </w:rPr>
        <w:t xml:space="preserve">Wage (s) </w:t>
      </w:r>
      <w:r w:rsidR="003D06AA">
        <w:rPr>
          <w:rFonts w:cs="Times New Roman"/>
        </w:rPr>
        <w:t>field</w:t>
      </w:r>
      <w:r w:rsidR="00924DEF">
        <w:rPr>
          <w:rFonts w:cs="Times New Roman"/>
        </w:rPr>
        <w:t xml:space="preserve"> in</w:t>
      </w:r>
      <w:r w:rsidR="006F3245" w:rsidRPr="005A045D">
        <w:rPr>
          <w:rFonts w:cs="Times New Roman"/>
        </w:rPr>
        <w:t xml:space="preserve"> shillings for ease</w:t>
      </w:r>
      <w:r w:rsidR="00B90C47">
        <w:rPr>
          <w:rFonts w:cs="Times New Roman"/>
        </w:rPr>
        <w:t xml:space="preserve"> of calculation and comparison. The wage entries include 26 entries (1.5 per cent of the dataset) in which the wages were originally contracted in another currency, and these have been converted using the contemporary estimated exchange rates provided in the evidence.</w:t>
      </w:r>
      <w:r w:rsidR="00B90C47">
        <w:rPr>
          <w:rStyle w:val="FootnoteReference"/>
          <w:rFonts w:cs="Times New Roman"/>
        </w:rPr>
        <w:footnoteReference w:id="44"/>
      </w:r>
      <w:r w:rsidR="00833774">
        <w:rPr>
          <w:rFonts w:cs="Times New Roman"/>
        </w:rPr>
        <w:t xml:space="preserve"> Thomas Williams</w:t>
      </w:r>
      <w:r w:rsidR="00011297">
        <w:rPr>
          <w:rFonts w:cs="Times New Roman"/>
        </w:rPr>
        <w:t xml:space="preserve"> (</w:t>
      </w:r>
      <w:r w:rsidR="00011297">
        <w:rPr>
          <w:rFonts w:cs="Times New Roman"/>
          <w:b/>
        </w:rPr>
        <w:t xml:space="preserve">ID </w:t>
      </w:r>
      <w:r w:rsidR="00011297">
        <w:rPr>
          <w:rFonts w:cs="Times New Roman"/>
        </w:rPr>
        <w:t>49)</w:t>
      </w:r>
      <w:r w:rsidR="00833774">
        <w:rPr>
          <w:rFonts w:cs="Times New Roman"/>
        </w:rPr>
        <w:t xml:space="preserve">, purser of the </w:t>
      </w:r>
      <w:r w:rsidR="00833774">
        <w:rPr>
          <w:rFonts w:cs="Times New Roman"/>
          <w:i/>
        </w:rPr>
        <w:t>John</w:t>
      </w:r>
      <w:r w:rsidR="00011297">
        <w:rPr>
          <w:rFonts w:cs="Times New Roman"/>
          <w:i/>
        </w:rPr>
        <w:t xml:space="preserve"> </w:t>
      </w:r>
      <w:r w:rsidR="00011297">
        <w:rPr>
          <w:rFonts w:cs="Times New Roman"/>
        </w:rPr>
        <w:t>(</w:t>
      </w:r>
      <w:r w:rsidR="00011297">
        <w:rPr>
          <w:rFonts w:cs="Times New Roman"/>
          <w:b/>
        </w:rPr>
        <w:t>Vge no</w:t>
      </w:r>
      <w:r w:rsidR="00011297">
        <w:rPr>
          <w:rFonts w:cs="Times New Roman"/>
        </w:rPr>
        <w:t xml:space="preserve"> 6)</w:t>
      </w:r>
      <w:r w:rsidR="00833774">
        <w:rPr>
          <w:rFonts w:cs="Times New Roman"/>
          <w:i/>
        </w:rPr>
        <w:t xml:space="preserve"> </w:t>
      </w:r>
      <w:r w:rsidR="00833774">
        <w:rPr>
          <w:rFonts w:cs="Times New Roman"/>
        </w:rPr>
        <w:t>in 1640-1645, and Thomas Jones</w:t>
      </w:r>
      <w:r w:rsidR="00011297">
        <w:rPr>
          <w:rFonts w:cs="Times New Roman"/>
        </w:rPr>
        <w:t xml:space="preserve"> (</w:t>
      </w:r>
      <w:r w:rsidR="00011297">
        <w:rPr>
          <w:rFonts w:cs="Times New Roman"/>
          <w:b/>
        </w:rPr>
        <w:t xml:space="preserve">ID </w:t>
      </w:r>
      <w:r w:rsidR="00011297">
        <w:rPr>
          <w:rFonts w:cs="Times New Roman"/>
        </w:rPr>
        <w:t>897)</w:t>
      </w:r>
      <w:r w:rsidR="00833774">
        <w:rPr>
          <w:rFonts w:cs="Times New Roman"/>
        </w:rPr>
        <w:t xml:space="preserve">, master’s mate of the </w:t>
      </w:r>
      <w:r w:rsidR="00833774">
        <w:rPr>
          <w:rFonts w:cs="Times New Roman"/>
          <w:i/>
        </w:rPr>
        <w:t>James</w:t>
      </w:r>
      <w:r w:rsidR="00DE1340">
        <w:rPr>
          <w:rFonts w:cs="Times New Roman"/>
          <w:i/>
        </w:rPr>
        <w:t xml:space="preserve"> </w:t>
      </w:r>
      <w:r w:rsidR="00DE1340">
        <w:rPr>
          <w:rFonts w:cs="Times New Roman"/>
        </w:rPr>
        <w:t>(</w:t>
      </w:r>
      <w:r w:rsidR="00DE1340">
        <w:rPr>
          <w:rFonts w:cs="Times New Roman"/>
          <w:b/>
        </w:rPr>
        <w:t xml:space="preserve">Vge no </w:t>
      </w:r>
      <w:r w:rsidR="00DE1340">
        <w:rPr>
          <w:rFonts w:cs="Times New Roman"/>
        </w:rPr>
        <w:t>66)</w:t>
      </w:r>
      <w:r w:rsidR="00833774">
        <w:rPr>
          <w:rFonts w:cs="Times New Roman"/>
          <w:i/>
        </w:rPr>
        <w:t xml:space="preserve"> </w:t>
      </w:r>
      <w:r w:rsidR="00833774">
        <w:rPr>
          <w:rFonts w:cs="Times New Roman"/>
        </w:rPr>
        <w:t>in 1651, were both hired for dollars; Williams offered an exchange rate of 4s 6</w:t>
      </w:r>
      <w:r w:rsidR="00833774" w:rsidRPr="00AE2B65">
        <w:rPr>
          <w:rFonts w:cs="Times New Roman"/>
          <w:i/>
        </w:rPr>
        <w:t>d</w:t>
      </w:r>
      <w:r w:rsidR="005706DC">
        <w:rPr>
          <w:rFonts w:cs="Times New Roman"/>
        </w:rPr>
        <w:t xml:space="preserve"> = 1</w:t>
      </w:r>
      <w:r w:rsidR="00833774">
        <w:rPr>
          <w:rFonts w:cs="Times New Roman"/>
        </w:rPr>
        <w:t xml:space="preserve"> dollar, which was also used to convert Jones’s claim (see also Table 5 below).</w:t>
      </w:r>
      <w:r w:rsidR="00833774">
        <w:rPr>
          <w:rStyle w:val="FootnoteReference"/>
          <w:rFonts w:cs="Times New Roman"/>
        </w:rPr>
        <w:footnoteReference w:id="45"/>
      </w:r>
      <w:r w:rsidR="007200EA">
        <w:rPr>
          <w:rFonts w:cs="Times New Roman"/>
        </w:rPr>
        <w:t xml:space="preserve"> </w:t>
      </w:r>
      <w:r w:rsidR="001A0509">
        <w:rPr>
          <w:rFonts w:cs="Times New Roman"/>
        </w:rPr>
        <w:t>In</w:t>
      </w:r>
      <w:r w:rsidR="009773F5">
        <w:rPr>
          <w:rFonts w:cs="Times New Roman"/>
        </w:rPr>
        <w:t xml:space="preserve"> the 1651-1662 </w:t>
      </w:r>
      <w:proofErr w:type="gramStart"/>
      <w:r w:rsidR="009773F5">
        <w:rPr>
          <w:rFonts w:cs="Times New Roman"/>
        </w:rPr>
        <w:t>sample</w:t>
      </w:r>
      <w:proofErr w:type="gramEnd"/>
      <w:r w:rsidR="009773F5">
        <w:rPr>
          <w:rFonts w:cs="Times New Roman"/>
        </w:rPr>
        <w:t xml:space="preserve">, </w:t>
      </w:r>
      <w:r w:rsidR="00392C8A">
        <w:rPr>
          <w:rFonts w:cs="Times New Roman"/>
        </w:rPr>
        <w:t xml:space="preserve">24 wage entries in 3 voyages </w:t>
      </w:r>
      <w:r w:rsidR="00ED1CA7">
        <w:rPr>
          <w:rFonts w:cs="Times New Roman"/>
        </w:rPr>
        <w:t>concerned contracts originally agreed in</w:t>
      </w:r>
      <w:r w:rsidR="00AE2B65">
        <w:rPr>
          <w:rFonts w:cs="Times New Roman"/>
        </w:rPr>
        <w:t xml:space="preserve"> guilders.</w:t>
      </w:r>
      <w:r w:rsidR="00392C8A">
        <w:rPr>
          <w:rStyle w:val="FootnoteReference"/>
          <w:rFonts w:cs="Times New Roman"/>
        </w:rPr>
        <w:footnoteReference w:id="46"/>
      </w:r>
      <w:r w:rsidR="00AE2B65">
        <w:rPr>
          <w:rFonts w:cs="Times New Roman"/>
        </w:rPr>
        <w:t xml:space="preserve"> These were converted at the rate of </w:t>
      </w:r>
      <w:r w:rsidR="00ED15DC">
        <w:rPr>
          <w:rFonts w:cs="Times New Roman"/>
        </w:rPr>
        <w:t xml:space="preserve">2s = </w:t>
      </w:r>
      <w:r w:rsidR="00AE2B65">
        <w:rPr>
          <w:rFonts w:cs="Times New Roman"/>
        </w:rPr>
        <w:t>1 guilder, which was suggested by contemporary HCA sources.</w:t>
      </w:r>
      <w:r w:rsidR="00AE2B65">
        <w:rPr>
          <w:rStyle w:val="FootnoteReference"/>
          <w:rFonts w:cs="Times New Roman"/>
        </w:rPr>
        <w:footnoteReference w:id="47"/>
      </w:r>
    </w:p>
    <w:p w:rsidR="00D327A4" w:rsidRDefault="0050562A" w:rsidP="00D327A4">
      <w:pPr>
        <w:spacing w:after="240" w:line="360" w:lineRule="auto"/>
        <w:jc w:val="both"/>
        <w:rPr>
          <w:rFonts w:cs="Times New Roman"/>
        </w:rPr>
      </w:pPr>
      <w:r>
        <w:rPr>
          <w:rFonts w:cs="Times New Roman"/>
        </w:rPr>
        <w:tab/>
        <w:t>In addition, the admiralty court evidence provides details of conversation rates in certain ports, mostly in the Mediterranean, as</w:t>
      </w:r>
      <w:r w:rsidR="005326AA">
        <w:rPr>
          <w:rFonts w:cs="Times New Roman"/>
        </w:rPr>
        <w:t xml:space="preserve"> set out in Table 5</w:t>
      </w:r>
      <w:r w:rsidR="009A4228">
        <w:rPr>
          <w:rFonts w:cs="Times New Roman"/>
        </w:rPr>
        <w:t xml:space="preserve"> (where the evidence contained</w:t>
      </w:r>
      <w:r w:rsidR="00C0716B">
        <w:rPr>
          <w:rFonts w:cs="Times New Roman"/>
        </w:rPr>
        <w:t xml:space="preserve"> no date, the source date is given)</w:t>
      </w:r>
      <w:r w:rsidR="005326AA">
        <w:rPr>
          <w:rFonts w:cs="Times New Roman"/>
        </w:rPr>
        <w:t xml:space="preserve">. </w:t>
      </w:r>
    </w:p>
    <w:p w:rsidR="00C0716B" w:rsidRPr="00C0716B" w:rsidRDefault="00C0716B" w:rsidP="00C0716B">
      <w:pPr>
        <w:spacing w:line="360" w:lineRule="auto"/>
        <w:jc w:val="center"/>
        <w:rPr>
          <w:rFonts w:cs="Times New Roman"/>
          <w:b/>
        </w:rPr>
      </w:pPr>
      <w:r>
        <w:rPr>
          <w:rFonts w:cs="Times New Roman"/>
          <w:b/>
        </w:rPr>
        <w:t>Table 5: Currency exchange rates recorded in the HCA</w:t>
      </w:r>
    </w:p>
    <w:tbl>
      <w:tblPr>
        <w:tblStyle w:val="TableGrid"/>
        <w:tblW w:w="9640" w:type="dxa"/>
        <w:tblInd w:w="-147" w:type="dxa"/>
        <w:tblLook w:val="04A0" w:firstRow="1" w:lastRow="0" w:firstColumn="1" w:lastColumn="0" w:noHBand="0" w:noVBand="1"/>
      </w:tblPr>
      <w:tblGrid>
        <w:gridCol w:w="851"/>
        <w:gridCol w:w="1701"/>
        <w:gridCol w:w="2471"/>
        <w:gridCol w:w="4617"/>
      </w:tblGrid>
      <w:tr w:rsidR="00BF4656" w:rsidTr="00184FD9">
        <w:tc>
          <w:tcPr>
            <w:tcW w:w="851" w:type="dxa"/>
          </w:tcPr>
          <w:p w:rsidR="00C0716B" w:rsidRDefault="00C0716B"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Year</w:t>
            </w:r>
          </w:p>
        </w:tc>
        <w:tc>
          <w:tcPr>
            <w:tcW w:w="1701" w:type="dxa"/>
          </w:tcPr>
          <w:p w:rsidR="00C0716B" w:rsidRDefault="00C0716B"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Place</w:t>
            </w:r>
          </w:p>
        </w:tc>
        <w:tc>
          <w:tcPr>
            <w:tcW w:w="2471" w:type="dxa"/>
          </w:tcPr>
          <w:p w:rsidR="00C0716B" w:rsidRDefault="00C0716B"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Exchange</w:t>
            </w:r>
          </w:p>
        </w:tc>
        <w:tc>
          <w:tcPr>
            <w:tcW w:w="4617" w:type="dxa"/>
          </w:tcPr>
          <w:p w:rsidR="00C0716B" w:rsidRDefault="00C0716B"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Source</w:t>
            </w:r>
          </w:p>
        </w:tc>
      </w:tr>
      <w:tr w:rsidR="00184FD9" w:rsidTr="00184FD9">
        <w:tc>
          <w:tcPr>
            <w:tcW w:w="851" w:type="dxa"/>
          </w:tcPr>
          <w:p w:rsidR="00D327A4" w:rsidRDefault="00D327A4"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1641?</w:t>
            </w:r>
          </w:p>
        </w:tc>
        <w:tc>
          <w:tcPr>
            <w:tcW w:w="1701" w:type="dxa"/>
          </w:tcPr>
          <w:p w:rsidR="00D327A4" w:rsidRDefault="00D327A4"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Alicante</w:t>
            </w:r>
          </w:p>
        </w:tc>
        <w:tc>
          <w:tcPr>
            <w:tcW w:w="2471" w:type="dxa"/>
          </w:tcPr>
          <w:p w:rsidR="00105995" w:rsidRPr="00F05326" w:rsidRDefault="00997CF5" w:rsidP="00F05326">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1 dollar = 4s 4</w:t>
            </w:r>
            <w:r w:rsidR="00105995">
              <w:rPr>
                <w:rFonts w:cs="Times New Roman"/>
                <w:i/>
              </w:rPr>
              <w:t xml:space="preserve">d </w:t>
            </w:r>
            <w:r w:rsidR="00F05326">
              <w:rPr>
                <w:rFonts w:cs="Times New Roman"/>
              </w:rPr>
              <w:t>–</w:t>
            </w:r>
            <w:r w:rsidR="00105995">
              <w:rPr>
                <w:rFonts w:cs="Times New Roman"/>
              </w:rPr>
              <w:t xml:space="preserve"> </w:t>
            </w:r>
            <w:r w:rsidR="00951B39">
              <w:rPr>
                <w:rFonts w:cs="Times New Roman"/>
              </w:rPr>
              <w:t xml:space="preserve">4s </w:t>
            </w:r>
            <w:r w:rsidR="00105995">
              <w:rPr>
                <w:rFonts w:cs="Times New Roman"/>
              </w:rPr>
              <w:t>6</w:t>
            </w:r>
            <w:r w:rsidR="00105995">
              <w:rPr>
                <w:rFonts w:cs="Times New Roman"/>
                <w:i/>
              </w:rPr>
              <w:t>d</w:t>
            </w:r>
          </w:p>
        </w:tc>
        <w:tc>
          <w:tcPr>
            <w:tcW w:w="4617" w:type="dxa"/>
          </w:tcPr>
          <w:p w:rsidR="00D327A4" w:rsidRDefault="00997CF5"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TNA HCA 13/59, deposition of John Byam, 8 February 1643[/4], fo. 56r</w:t>
            </w:r>
          </w:p>
        </w:tc>
      </w:tr>
      <w:tr w:rsidR="002A3B58" w:rsidTr="00184FD9">
        <w:tc>
          <w:tcPr>
            <w:tcW w:w="851" w:type="dxa"/>
          </w:tcPr>
          <w:p w:rsidR="002A3B58" w:rsidRDefault="002A3B58"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lastRenderedPageBreak/>
              <w:t>1641</w:t>
            </w:r>
          </w:p>
        </w:tc>
        <w:tc>
          <w:tcPr>
            <w:tcW w:w="1701" w:type="dxa"/>
          </w:tcPr>
          <w:p w:rsidR="002A3B58" w:rsidRDefault="002A3B58"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Genoa</w:t>
            </w:r>
          </w:p>
        </w:tc>
        <w:tc>
          <w:tcPr>
            <w:tcW w:w="2471" w:type="dxa"/>
          </w:tcPr>
          <w:p w:rsidR="002A3B58" w:rsidRPr="002A3B58" w:rsidRDefault="00105995" w:rsidP="00105995">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 xml:space="preserve">1 dollar = 82 – </w:t>
            </w:r>
            <w:r w:rsidR="002A3B58">
              <w:rPr>
                <w:rFonts w:cs="Times New Roman"/>
              </w:rPr>
              <w:t xml:space="preserve">92 </w:t>
            </w:r>
            <w:r w:rsidR="002A3B58">
              <w:rPr>
                <w:rFonts w:cs="Times New Roman"/>
                <w:i/>
              </w:rPr>
              <w:t>sols</w:t>
            </w:r>
          </w:p>
        </w:tc>
        <w:tc>
          <w:tcPr>
            <w:tcW w:w="4617" w:type="dxa"/>
          </w:tcPr>
          <w:p w:rsidR="002A3B58" w:rsidRDefault="002A3B58"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TNA HCA 13/62, depositions of Job Throckmorton and Joshua Towler, 11 April 1650</w:t>
            </w:r>
          </w:p>
        </w:tc>
      </w:tr>
      <w:tr w:rsidR="003F6245" w:rsidTr="00184FD9">
        <w:tc>
          <w:tcPr>
            <w:tcW w:w="851" w:type="dxa"/>
          </w:tcPr>
          <w:p w:rsidR="003F6245" w:rsidRDefault="003F6245"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1641</w:t>
            </w:r>
          </w:p>
        </w:tc>
        <w:tc>
          <w:tcPr>
            <w:tcW w:w="1701" w:type="dxa"/>
          </w:tcPr>
          <w:p w:rsidR="003F6245" w:rsidRDefault="003F6245" w:rsidP="003F6245">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Lisbon</w:t>
            </w:r>
            <w:r w:rsidR="00EE1565">
              <w:rPr>
                <w:rFonts w:cs="Times New Roman"/>
              </w:rPr>
              <w:t>, Zante</w:t>
            </w:r>
          </w:p>
        </w:tc>
        <w:tc>
          <w:tcPr>
            <w:tcW w:w="2471" w:type="dxa"/>
          </w:tcPr>
          <w:p w:rsidR="003F6245" w:rsidRPr="00EE1565" w:rsidRDefault="003F6245" w:rsidP="00105995">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1 dollar = 4s 4</w:t>
            </w:r>
            <w:r>
              <w:rPr>
                <w:rFonts w:cs="Times New Roman"/>
                <w:i/>
              </w:rPr>
              <w:t>d</w:t>
            </w:r>
            <w:r w:rsidR="00EE1565">
              <w:rPr>
                <w:rFonts w:cs="Times New Roman"/>
              </w:rPr>
              <w:t xml:space="preserve"> – 4s 6</w:t>
            </w:r>
            <w:r w:rsidR="00EE1565">
              <w:rPr>
                <w:rFonts w:cs="Times New Roman"/>
                <w:i/>
              </w:rPr>
              <w:t>d</w:t>
            </w:r>
          </w:p>
        </w:tc>
        <w:tc>
          <w:tcPr>
            <w:tcW w:w="4617" w:type="dxa"/>
          </w:tcPr>
          <w:p w:rsidR="003F6245" w:rsidRDefault="003F6245"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TNA HCA 13/118, answer</w:t>
            </w:r>
            <w:r w:rsidR="00EE1565">
              <w:rPr>
                <w:rFonts w:cs="Times New Roman"/>
              </w:rPr>
              <w:t>s</w:t>
            </w:r>
            <w:r>
              <w:rPr>
                <w:rFonts w:cs="Times New Roman"/>
              </w:rPr>
              <w:t xml:space="preserve"> of </w:t>
            </w:r>
            <w:r w:rsidR="00EE1565">
              <w:rPr>
                <w:rFonts w:cs="Times New Roman"/>
              </w:rPr>
              <w:t xml:space="preserve">Thomas Burley &amp; co, 29 March 1644, </w:t>
            </w:r>
            <w:r>
              <w:rPr>
                <w:rFonts w:cs="Times New Roman"/>
              </w:rPr>
              <w:t>Thomas Beale,</w:t>
            </w:r>
            <w:r w:rsidR="004253B1">
              <w:rPr>
                <w:rFonts w:cs="Times New Roman"/>
              </w:rPr>
              <w:t xml:space="preserve"> </w:t>
            </w:r>
            <w:r w:rsidR="00DC08E4">
              <w:rPr>
                <w:rFonts w:cs="Times New Roman"/>
              </w:rPr>
              <w:t xml:space="preserve">undated, </w:t>
            </w:r>
            <w:r w:rsidR="004253B1">
              <w:rPr>
                <w:rFonts w:cs="Times New Roman"/>
              </w:rPr>
              <w:t>and</w:t>
            </w:r>
            <w:r>
              <w:rPr>
                <w:rFonts w:cs="Times New Roman"/>
              </w:rPr>
              <w:t xml:space="preserve"> </w:t>
            </w:r>
            <w:r w:rsidR="005722D6">
              <w:rPr>
                <w:rFonts w:cs="Times New Roman"/>
              </w:rPr>
              <w:t>Josia Tewe,</w:t>
            </w:r>
            <w:r w:rsidR="00EE1565">
              <w:rPr>
                <w:rFonts w:cs="Times New Roman"/>
              </w:rPr>
              <w:t xml:space="preserve"> </w:t>
            </w:r>
            <w:r>
              <w:rPr>
                <w:rFonts w:cs="Times New Roman"/>
              </w:rPr>
              <w:t>undated</w:t>
            </w:r>
          </w:p>
        </w:tc>
      </w:tr>
      <w:tr w:rsidR="00EE1565" w:rsidTr="00184FD9">
        <w:tc>
          <w:tcPr>
            <w:tcW w:w="851" w:type="dxa"/>
          </w:tcPr>
          <w:p w:rsidR="00EE1565" w:rsidRDefault="00EE1565"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1641</w:t>
            </w:r>
          </w:p>
        </w:tc>
        <w:tc>
          <w:tcPr>
            <w:tcW w:w="1701" w:type="dxa"/>
          </w:tcPr>
          <w:p w:rsidR="00EE1565" w:rsidRDefault="00EE1565"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England</w:t>
            </w:r>
          </w:p>
        </w:tc>
        <w:tc>
          <w:tcPr>
            <w:tcW w:w="2471" w:type="dxa"/>
          </w:tcPr>
          <w:p w:rsidR="00EE1565" w:rsidRPr="00EE1565" w:rsidRDefault="00EE1565" w:rsidP="00EE1565">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i/>
              </w:rPr>
            </w:pPr>
            <w:r>
              <w:rPr>
                <w:rFonts w:cs="Times New Roman"/>
              </w:rPr>
              <w:t>1 dollar = 4s – 4s 3</w:t>
            </w:r>
            <w:r>
              <w:rPr>
                <w:rFonts w:cs="Times New Roman"/>
                <w:i/>
              </w:rPr>
              <w:t>d</w:t>
            </w:r>
          </w:p>
        </w:tc>
        <w:tc>
          <w:tcPr>
            <w:tcW w:w="4617" w:type="dxa"/>
          </w:tcPr>
          <w:p w:rsidR="00EE1565" w:rsidRDefault="00EE1565"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TNA HCA 13/118, answers of Thomas Burley &amp; co, 29 March 1644, and Josa Tewe, undated</w:t>
            </w:r>
          </w:p>
        </w:tc>
      </w:tr>
      <w:tr w:rsidR="002F098C" w:rsidTr="00184FD9">
        <w:tc>
          <w:tcPr>
            <w:tcW w:w="851" w:type="dxa"/>
          </w:tcPr>
          <w:p w:rsidR="002F098C" w:rsidRDefault="002F098C"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1641-1642</w:t>
            </w:r>
          </w:p>
        </w:tc>
        <w:tc>
          <w:tcPr>
            <w:tcW w:w="1701" w:type="dxa"/>
          </w:tcPr>
          <w:p w:rsidR="002F098C" w:rsidRDefault="002F098C"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Venice</w:t>
            </w:r>
          </w:p>
        </w:tc>
        <w:tc>
          <w:tcPr>
            <w:tcW w:w="2471" w:type="dxa"/>
          </w:tcPr>
          <w:p w:rsidR="002F098C" w:rsidRPr="008C18C5" w:rsidRDefault="002F098C" w:rsidP="00105995">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i/>
              </w:rPr>
            </w:pPr>
            <w:r>
              <w:rPr>
                <w:rFonts w:cs="Times New Roman"/>
              </w:rPr>
              <w:t>1 dollar = 4s</w:t>
            </w:r>
            <w:r w:rsidR="008C18C5">
              <w:rPr>
                <w:rFonts w:cs="Times New Roman"/>
              </w:rPr>
              <w:t xml:space="preserve"> – 4s 7.25</w:t>
            </w:r>
            <w:r w:rsidR="008C18C5">
              <w:rPr>
                <w:rFonts w:cs="Times New Roman"/>
                <w:i/>
              </w:rPr>
              <w:t>d</w:t>
            </w:r>
          </w:p>
        </w:tc>
        <w:tc>
          <w:tcPr>
            <w:tcW w:w="4617" w:type="dxa"/>
          </w:tcPr>
          <w:p w:rsidR="002F098C" w:rsidRDefault="002F098C"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TNA HCA 24/106/19</w:t>
            </w:r>
            <w:r w:rsidR="008C18C5">
              <w:rPr>
                <w:rFonts w:cs="Times New Roman"/>
              </w:rPr>
              <w:t>, 20</w:t>
            </w:r>
          </w:p>
        </w:tc>
      </w:tr>
      <w:tr w:rsidR="00BF4656" w:rsidTr="00184FD9">
        <w:tc>
          <w:tcPr>
            <w:tcW w:w="851" w:type="dxa"/>
          </w:tcPr>
          <w:p w:rsidR="00BF4656" w:rsidRDefault="00BF4656"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1641-1643</w:t>
            </w:r>
          </w:p>
        </w:tc>
        <w:tc>
          <w:tcPr>
            <w:tcW w:w="1701" w:type="dxa"/>
          </w:tcPr>
          <w:p w:rsidR="00BF4656" w:rsidRDefault="00BF4656"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Constantinople</w:t>
            </w:r>
          </w:p>
        </w:tc>
        <w:tc>
          <w:tcPr>
            <w:tcW w:w="2471" w:type="dxa"/>
          </w:tcPr>
          <w:p w:rsidR="00BF4656" w:rsidRPr="00BF4656" w:rsidRDefault="00BF4656" w:rsidP="00105995">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i/>
              </w:rPr>
            </w:pPr>
            <w:r>
              <w:rPr>
                <w:rFonts w:cs="Times New Roman"/>
              </w:rPr>
              <w:t>1 dollar = 4s 4</w:t>
            </w:r>
            <w:r>
              <w:rPr>
                <w:rFonts w:cs="Times New Roman"/>
                <w:i/>
              </w:rPr>
              <w:t>d</w:t>
            </w:r>
          </w:p>
        </w:tc>
        <w:tc>
          <w:tcPr>
            <w:tcW w:w="4617" w:type="dxa"/>
          </w:tcPr>
          <w:p w:rsidR="00BF4656" w:rsidRDefault="00BF4656"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TNA HCA 24/106/98</w:t>
            </w:r>
          </w:p>
        </w:tc>
      </w:tr>
      <w:tr w:rsidR="005722D6" w:rsidTr="00184FD9">
        <w:tc>
          <w:tcPr>
            <w:tcW w:w="851" w:type="dxa"/>
          </w:tcPr>
          <w:p w:rsidR="005722D6" w:rsidRDefault="005722D6"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1644</w:t>
            </w:r>
          </w:p>
        </w:tc>
        <w:tc>
          <w:tcPr>
            <w:tcW w:w="1701" w:type="dxa"/>
          </w:tcPr>
          <w:p w:rsidR="005722D6" w:rsidRDefault="005722D6"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Cadiz</w:t>
            </w:r>
          </w:p>
        </w:tc>
        <w:tc>
          <w:tcPr>
            <w:tcW w:w="2471" w:type="dxa"/>
          </w:tcPr>
          <w:p w:rsidR="005722D6" w:rsidRDefault="005722D6" w:rsidP="00105995">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1 dollar = 4s</w:t>
            </w:r>
          </w:p>
        </w:tc>
        <w:tc>
          <w:tcPr>
            <w:tcW w:w="4617" w:type="dxa"/>
          </w:tcPr>
          <w:p w:rsidR="005722D6" w:rsidRDefault="005722D6"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TNA HCA 13/119, answer of Henry Jones, 14 November 1645</w:t>
            </w:r>
          </w:p>
        </w:tc>
      </w:tr>
      <w:tr w:rsidR="00997CF5" w:rsidTr="00184FD9">
        <w:tc>
          <w:tcPr>
            <w:tcW w:w="851" w:type="dxa"/>
          </w:tcPr>
          <w:p w:rsidR="00997CF5" w:rsidRDefault="00997CF5"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1648</w:t>
            </w:r>
          </w:p>
        </w:tc>
        <w:tc>
          <w:tcPr>
            <w:tcW w:w="1701" w:type="dxa"/>
          </w:tcPr>
          <w:p w:rsidR="00997CF5" w:rsidRDefault="00997CF5"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Smyrna</w:t>
            </w:r>
          </w:p>
        </w:tc>
        <w:tc>
          <w:tcPr>
            <w:tcW w:w="2471" w:type="dxa"/>
          </w:tcPr>
          <w:p w:rsidR="00997CF5" w:rsidRPr="00105995" w:rsidRDefault="00997CF5" w:rsidP="00C318DE">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 xml:space="preserve">1 dollar = </w:t>
            </w:r>
            <w:r w:rsidR="00C318DE">
              <w:rPr>
                <w:rFonts w:cs="Times New Roman"/>
              </w:rPr>
              <w:t>4s 9</w:t>
            </w:r>
            <w:r w:rsidR="00C318DE">
              <w:rPr>
                <w:rFonts w:cs="Times New Roman"/>
                <w:i/>
              </w:rPr>
              <w:t>d</w:t>
            </w:r>
            <w:r w:rsidR="00C318DE">
              <w:rPr>
                <w:rFonts w:cs="Times New Roman"/>
              </w:rPr>
              <w:t xml:space="preserve"> – </w:t>
            </w:r>
            <w:r>
              <w:rPr>
                <w:rFonts w:cs="Times New Roman"/>
              </w:rPr>
              <w:t>5s 7</w:t>
            </w:r>
            <w:r>
              <w:rPr>
                <w:rFonts w:cs="Times New Roman"/>
                <w:i/>
              </w:rPr>
              <w:t>d</w:t>
            </w:r>
          </w:p>
        </w:tc>
        <w:tc>
          <w:tcPr>
            <w:tcW w:w="4617" w:type="dxa"/>
          </w:tcPr>
          <w:p w:rsidR="00997CF5" w:rsidRDefault="00997CF5"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TNA HCA 13/62, depositions of Nicholas Wilde and Thomas Thoroughgood, 5 December 1649</w:t>
            </w:r>
          </w:p>
        </w:tc>
      </w:tr>
      <w:tr w:rsidR="00184FD9" w:rsidTr="00184FD9">
        <w:tc>
          <w:tcPr>
            <w:tcW w:w="851" w:type="dxa"/>
          </w:tcPr>
          <w:p w:rsidR="00184FD9" w:rsidRDefault="00184FD9"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1648</w:t>
            </w:r>
          </w:p>
        </w:tc>
        <w:tc>
          <w:tcPr>
            <w:tcW w:w="1701" w:type="dxa"/>
          </w:tcPr>
          <w:p w:rsidR="00184FD9" w:rsidRDefault="00184FD9"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Genoa, Livorno</w:t>
            </w:r>
          </w:p>
        </w:tc>
        <w:tc>
          <w:tcPr>
            <w:tcW w:w="2471" w:type="dxa"/>
          </w:tcPr>
          <w:p w:rsidR="00184FD9" w:rsidRPr="00184FD9" w:rsidRDefault="00184FD9"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i/>
              </w:rPr>
            </w:pPr>
            <w:r>
              <w:rPr>
                <w:rFonts w:cs="Times New Roman"/>
              </w:rPr>
              <w:t>1 dollar = 4s 8</w:t>
            </w:r>
            <w:r>
              <w:rPr>
                <w:rFonts w:cs="Times New Roman"/>
                <w:i/>
              </w:rPr>
              <w:t>d</w:t>
            </w:r>
          </w:p>
        </w:tc>
        <w:tc>
          <w:tcPr>
            <w:tcW w:w="4617" w:type="dxa"/>
          </w:tcPr>
          <w:p w:rsidR="00184FD9" w:rsidRPr="00184FD9" w:rsidRDefault="00055FBA"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TNA HCA 24/109/323</w:t>
            </w:r>
          </w:p>
        </w:tc>
      </w:tr>
      <w:tr w:rsidR="00BF4656" w:rsidTr="00184FD9">
        <w:tc>
          <w:tcPr>
            <w:tcW w:w="851" w:type="dxa"/>
          </w:tcPr>
          <w:p w:rsidR="00C0716B" w:rsidRDefault="00C0716B"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1648</w:t>
            </w:r>
          </w:p>
        </w:tc>
        <w:tc>
          <w:tcPr>
            <w:tcW w:w="1701" w:type="dxa"/>
          </w:tcPr>
          <w:p w:rsidR="00C0716B" w:rsidRDefault="00C0716B"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Malaga</w:t>
            </w:r>
          </w:p>
        </w:tc>
        <w:tc>
          <w:tcPr>
            <w:tcW w:w="2471" w:type="dxa"/>
          </w:tcPr>
          <w:p w:rsidR="00C0716B" w:rsidRPr="00C0716B" w:rsidRDefault="00C0716B"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i/>
              </w:rPr>
            </w:pPr>
            <w:r>
              <w:rPr>
                <w:rFonts w:cs="Times New Roman"/>
              </w:rPr>
              <w:t xml:space="preserve">1 dollar = </w:t>
            </w:r>
            <w:r w:rsidR="00E06B5E">
              <w:rPr>
                <w:rFonts w:cs="Times New Roman"/>
              </w:rPr>
              <w:t>4s 6</w:t>
            </w:r>
            <w:r w:rsidR="00E06B5E">
              <w:rPr>
                <w:rFonts w:cs="Times New Roman"/>
                <w:i/>
              </w:rPr>
              <w:t xml:space="preserve">d </w:t>
            </w:r>
            <w:r w:rsidR="00E06B5E">
              <w:rPr>
                <w:rFonts w:cs="Times New Roman"/>
              </w:rPr>
              <w:t xml:space="preserve">- </w:t>
            </w:r>
            <w:r>
              <w:rPr>
                <w:rFonts w:cs="Times New Roman"/>
              </w:rPr>
              <w:t>4s 9</w:t>
            </w:r>
            <w:r>
              <w:rPr>
                <w:rFonts w:cs="Times New Roman"/>
                <w:i/>
              </w:rPr>
              <w:t>d</w:t>
            </w:r>
          </w:p>
        </w:tc>
        <w:tc>
          <w:tcPr>
            <w:tcW w:w="4617" w:type="dxa"/>
          </w:tcPr>
          <w:p w:rsidR="00C0716B" w:rsidRDefault="00C0716B"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TNA HCA 3/43, fo. 106r</w:t>
            </w:r>
            <w:r w:rsidR="00E06B5E">
              <w:rPr>
                <w:rFonts w:cs="Times New Roman"/>
              </w:rPr>
              <w:t>, HCA 24/109/329</w:t>
            </w:r>
          </w:p>
        </w:tc>
      </w:tr>
      <w:tr w:rsidR="005F42AC" w:rsidTr="00184FD9">
        <w:tc>
          <w:tcPr>
            <w:tcW w:w="851" w:type="dxa"/>
          </w:tcPr>
          <w:p w:rsidR="005F42AC" w:rsidRDefault="005F42AC"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1648-1649</w:t>
            </w:r>
          </w:p>
        </w:tc>
        <w:tc>
          <w:tcPr>
            <w:tcW w:w="1701" w:type="dxa"/>
          </w:tcPr>
          <w:p w:rsidR="005F42AC" w:rsidRDefault="005F42AC"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Livorno</w:t>
            </w:r>
          </w:p>
        </w:tc>
        <w:tc>
          <w:tcPr>
            <w:tcW w:w="2471" w:type="dxa"/>
          </w:tcPr>
          <w:p w:rsidR="005F42AC" w:rsidRPr="006174D2" w:rsidRDefault="005F42AC" w:rsidP="006174D2">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 xml:space="preserve">1 dollar = </w:t>
            </w:r>
            <w:r w:rsidR="006174D2">
              <w:rPr>
                <w:rFonts w:cs="Times New Roman"/>
              </w:rPr>
              <w:t xml:space="preserve">4s </w:t>
            </w:r>
            <w:r w:rsidR="006174D2" w:rsidRPr="006174D2">
              <w:rPr>
                <w:rFonts w:cs="Times New Roman"/>
                <w:i/>
              </w:rPr>
              <w:t>6</w:t>
            </w:r>
            <w:r w:rsidR="006174D2">
              <w:rPr>
                <w:rFonts w:cs="Times New Roman"/>
                <w:i/>
              </w:rPr>
              <w:t xml:space="preserve">d </w:t>
            </w:r>
            <w:r w:rsidR="006174D2">
              <w:rPr>
                <w:rFonts w:cs="Times New Roman"/>
              </w:rPr>
              <w:t>– 5s</w:t>
            </w:r>
          </w:p>
        </w:tc>
        <w:tc>
          <w:tcPr>
            <w:tcW w:w="4617" w:type="dxa"/>
          </w:tcPr>
          <w:p w:rsidR="005F42AC" w:rsidRDefault="005F42AC" w:rsidP="005F42AC">
            <w:pPr>
              <w:spacing w:line="360" w:lineRule="auto"/>
              <w:jc w:val="center"/>
              <w:rPr>
                <w:rFonts w:cs="Times New Roman"/>
              </w:rPr>
            </w:pPr>
            <w:r>
              <w:rPr>
                <w:rFonts w:cs="Times New Roman"/>
              </w:rPr>
              <w:t xml:space="preserve">TNA HCA </w:t>
            </w:r>
            <w:r w:rsidRPr="005A045D">
              <w:rPr>
                <w:rFonts w:cs="Times New Roman"/>
              </w:rPr>
              <w:t>13/122, answer of T</w:t>
            </w:r>
            <w:r>
              <w:rPr>
                <w:rFonts w:cs="Times New Roman"/>
              </w:rPr>
              <w:t>homas Hughes, 21 November 1649</w:t>
            </w:r>
            <w:r w:rsidR="00BD47F9">
              <w:rPr>
                <w:rFonts w:cs="Times New Roman"/>
              </w:rPr>
              <w:t>; HCA 24/109/205</w:t>
            </w:r>
          </w:p>
        </w:tc>
      </w:tr>
      <w:tr w:rsidR="005F42AC" w:rsidTr="00184FD9">
        <w:tc>
          <w:tcPr>
            <w:tcW w:w="851" w:type="dxa"/>
          </w:tcPr>
          <w:p w:rsidR="005F42AC" w:rsidRDefault="005F42AC"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1648-1649</w:t>
            </w:r>
          </w:p>
        </w:tc>
        <w:tc>
          <w:tcPr>
            <w:tcW w:w="1701" w:type="dxa"/>
          </w:tcPr>
          <w:p w:rsidR="005F42AC" w:rsidRDefault="005F42AC"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Smyrna</w:t>
            </w:r>
          </w:p>
        </w:tc>
        <w:tc>
          <w:tcPr>
            <w:tcW w:w="2471" w:type="dxa"/>
          </w:tcPr>
          <w:p w:rsidR="005F42AC" w:rsidRPr="005F42AC" w:rsidRDefault="005F42AC" w:rsidP="00105995">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i/>
              </w:rPr>
            </w:pPr>
            <w:r>
              <w:rPr>
                <w:rFonts w:cs="Times New Roman"/>
              </w:rPr>
              <w:t>1 dollar = 5s 6</w:t>
            </w:r>
            <w:r>
              <w:rPr>
                <w:rFonts w:cs="Times New Roman"/>
                <w:i/>
              </w:rPr>
              <w:t>d</w:t>
            </w:r>
          </w:p>
        </w:tc>
        <w:tc>
          <w:tcPr>
            <w:tcW w:w="4617" w:type="dxa"/>
          </w:tcPr>
          <w:p w:rsidR="005F42AC" w:rsidRDefault="005F42AC"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sidRPr="005F42AC">
              <w:rPr>
                <w:rFonts w:cs="Times New Roman"/>
              </w:rPr>
              <w:t>TNA HCA 13/122, answer of Thomas Hughes, 21 November 1649</w:t>
            </w:r>
          </w:p>
        </w:tc>
      </w:tr>
      <w:tr w:rsidR="008F02ED" w:rsidTr="00184FD9">
        <w:tc>
          <w:tcPr>
            <w:tcW w:w="851" w:type="dxa"/>
          </w:tcPr>
          <w:p w:rsidR="008F02ED" w:rsidRDefault="008F02ED"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1649</w:t>
            </w:r>
          </w:p>
        </w:tc>
        <w:tc>
          <w:tcPr>
            <w:tcW w:w="1701" w:type="dxa"/>
          </w:tcPr>
          <w:p w:rsidR="008F02ED" w:rsidRDefault="008F02ED"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Smyrna</w:t>
            </w:r>
          </w:p>
        </w:tc>
        <w:tc>
          <w:tcPr>
            <w:tcW w:w="2471" w:type="dxa"/>
          </w:tcPr>
          <w:p w:rsidR="008F02ED" w:rsidRPr="008F02ED" w:rsidRDefault="008F02ED" w:rsidP="00105995">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i/>
              </w:rPr>
            </w:pPr>
            <w:r>
              <w:rPr>
                <w:rFonts w:cs="Times New Roman"/>
              </w:rPr>
              <w:t>1 dollar = 4s 6</w:t>
            </w:r>
            <w:r>
              <w:rPr>
                <w:rFonts w:cs="Times New Roman"/>
                <w:i/>
              </w:rPr>
              <w:t>d</w:t>
            </w:r>
          </w:p>
        </w:tc>
        <w:tc>
          <w:tcPr>
            <w:tcW w:w="4617" w:type="dxa"/>
          </w:tcPr>
          <w:p w:rsidR="008F02ED" w:rsidRDefault="008F02ED"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TNA HCA 13/62, depositions of Richard Jenkins and John Paine, 16 April 1650</w:t>
            </w:r>
          </w:p>
        </w:tc>
      </w:tr>
      <w:tr w:rsidR="00DA5CC5" w:rsidTr="00184FD9">
        <w:tc>
          <w:tcPr>
            <w:tcW w:w="851" w:type="dxa"/>
          </w:tcPr>
          <w:p w:rsidR="00DA5CC5" w:rsidRDefault="00DA5CC5"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1649</w:t>
            </w:r>
          </w:p>
        </w:tc>
        <w:tc>
          <w:tcPr>
            <w:tcW w:w="1701" w:type="dxa"/>
          </w:tcPr>
          <w:p w:rsidR="00DA5CC5" w:rsidRDefault="00DA5CC5"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Marseilles, Malaga</w:t>
            </w:r>
          </w:p>
        </w:tc>
        <w:tc>
          <w:tcPr>
            <w:tcW w:w="2471" w:type="dxa"/>
          </w:tcPr>
          <w:p w:rsidR="00DA5CC5" w:rsidRPr="00DA5CC5" w:rsidRDefault="00DA5CC5" w:rsidP="00105995">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i/>
              </w:rPr>
            </w:pPr>
            <w:r>
              <w:rPr>
                <w:rFonts w:cs="Times New Roman"/>
              </w:rPr>
              <w:t>1 dollar = 4s 6</w:t>
            </w:r>
            <w:r>
              <w:rPr>
                <w:rFonts w:cs="Times New Roman"/>
                <w:i/>
              </w:rPr>
              <w:t>d</w:t>
            </w:r>
          </w:p>
        </w:tc>
        <w:tc>
          <w:tcPr>
            <w:tcW w:w="4617" w:type="dxa"/>
          </w:tcPr>
          <w:p w:rsidR="00DA5CC5" w:rsidRPr="00DA5CC5" w:rsidRDefault="00DA5CC5"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TNA HCA 24/109/82</w:t>
            </w:r>
          </w:p>
        </w:tc>
      </w:tr>
      <w:tr w:rsidR="00105995" w:rsidTr="00184FD9">
        <w:tc>
          <w:tcPr>
            <w:tcW w:w="851" w:type="dxa"/>
          </w:tcPr>
          <w:p w:rsidR="00105995" w:rsidRDefault="00105995"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1649-1650</w:t>
            </w:r>
          </w:p>
        </w:tc>
        <w:tc>
          <w:tcPr>
            <w:tcW w:w="1701" w:type="dxa"/>
          </w:tcPr>
          <w:p w:rsidR="00105995" w:rsidRDefault="00105995"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Venice, Malaga,</w:t>
            </w:r>
            <w:r w:rsidR="003B60D7">
              <w:rPr>
                <w:rFonts w:cs="Times New Roman"/>
              </w:rPr>
              <w:t xml:space="preserve"> Marseilles</w:t>
            </w:r>
          </w:p>
        </w:tc>
        <w:tc>
          <w:tcPr>
            <w:tcW w:w="2471" w:type="dxa"/>
          </w:tcPr>
          <w:p w:rsidR="00105995" w:rsidRPr="00105995" w:rsidRDefault="00105995" w:rsidP="00621E2D">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 xml:space="preserve">1 dollar = 4s </w:t>
            </w:r>
            <w:r w:rsidRPr="00B434E7">
              <w:rPr>
                <w:rFonts w:cs="Times New Roman"/>
              </w:rPr>
              <w:t>6</w:t>
            </w:r>
            <w:r>
              <w:rPr>
                <w:rFonts w:cs="Times New Roman"/>
                <w:i/>
              </w:rPr>
              <w:t xml:space="preserve">d </w:t>
            </w:r>
            <w:r w:rsidR="00621E2D">
              <w:rPr>
                <w:rFonts w:cs="Times New Roman"/>
              </w:rPr>
              <w:t>–</w:t>
            </w:r>
            <w:r w:rsidR="00951B39">
              <w:rPr>
                <w:rFonts w:cs="Times New Roman"/>
              </w:rPr>
              <w:t xml:space="preserve"> </w:t>
            </w:r>
            <w:r>
              <w:rPr>
                <w:rFonts w:cs="Times New Roman"/>
              </w:rPr>
              <w:t>5s</w:t>
            </w:r>
          </w:p>
        </w:tc>
        <w:tc>
          <w:tcPr>
            <w:tcW w:w="4617" w:type="dxa"/>
          </w:tcPr>
          <w:p w:rsidR="00105995" w:rsidRDefault="00105995"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TNA HCA 13/62, depositions of William Haddock</w:t>
            </w:r>
            <w:r w:rsidR="00951B39">
              <w:rPr>
                <w:rFonts w:cs="Times New Roman"/>
              </w:rPr>
              <w:t xml:space="preserve"> and Thomas Jones</w:t>
            </w:r>
            <w:r>
              <w:rPr>
                <w:rFonts w:cs="Times New Roman"/>
              </w:rPr>
              <w:t>, 12 April 1650</w:t>
            </w:r>
          </w:p>
        </w:tc>
      </w:tr>
      <w:tr w:rsidR="009D40FD" w:rsidTr="00184FD9">
        <w:tc>
          <w:tcPr>
            <w:tcW w:w="851" w:type="dxa"/>
          </w:tcPr>
          <w:p w:rsidR="009D40FD" w:rsidRDefault="009D40FD"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lastRenderedPageBreak/>
              <w:t>1650</w:t>
            </w:r>
          </w:p>
        </w:tc>
        <w:tc>
          <w:tcPr>
            <w:tcW w:w="1701" w:type="dxa"/>
          </w:tcPr>
          <w:p w:rsidR="009D40FD" w:rsidRDefault="009D40FD"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Smyrna</w:t>
            </w:r>
          </w:p>
        </w:tc>
        <w:tc>
          <w:tcPr>
            <w:tcW w:w="2471" w:type="dxa"/>
          </w:tcPr>
          <w:p w:rsidR="009D40FD" w:rsidRPr="009D40FD" w:rsidRDefault="009D40FD"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i/>
              </w:rPr>
            </w:pPr>
            <w:r>
              <w:rPr>
                <w:rFonts w:cs="Times New Roman"/>
              </w:rPr>
              <w:t>1 dollar = 4s 5</w:t>
            </w:r>
            <w:r>
              <w:rPr>
                <w:rFonts w:cs="Times New Roman"/>
                <w:i/>
              </w:rPr>
              <w:t>d</w:t>
            </w:r>
          </w:p>
        </w:tc>
        <w:tc>
          <w:tcPr>
            <w:tcW w:w="4617" w:type="dxa"/>
          </w:tcPr>
          <w:p w:rsidR="009D40FD" w:rsidRDefault="009D40FD"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TNA HCA 24/109/333</w:t>
            </w:r>
          </w:p>
        </w:tc>
      </w:tr>
      <w:tr w:rsidR="00184FD9" w:rsidTr="00184FD9">
        <w:tc>
          <w:tcPr>
            <w:tcW w:w="851" w:type="dxa"/>
          </w:tcPr>
          <w:p w:rsidR="00D327A4" w:rsidRDefault="00D327A4"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1653</w:t>
            </w:r>
          </w:p>
        </w:tc>
        <w:tc>
          <w:tcPr>
            <w:tcW w:w="1701" w:type="dxa"/>
          </w:tcPr>
          <w:p w:rsidR="00D327A4" w:rsidRDefault="00D327A4"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Venice</w:t>
            </w:r>
          </w:p>
        </w:tc>
        <w:tc>
          <w:tcPr>
            <w:tcW w:w="2471" w:type="dxa"/>
          </w:tcPr>
          <w:p w:rsidR="00D327A4" w:rsidRPr="009A1419" w:rsidRDefault="009A1419"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i/>
              </w:rPr>
            </w:pPr>
            <w:r>
              <w:rPr>
                <w:rFonts w:cs="Times New Roman"/>
              </w:rPr>
              <w:t>1 ducat = 4s 3</w:t>
            </w:r>
            <w:r>
              <w:rPr>
                <w:rFonts w:cs="Times New Roman"/>
                <w:i/>
              </w:rPr>
              <w:t>d</w:t>
            </w:r>
          </w:p>
        </w:tc>
        <w:tc>
          <w:tcPr>
            <w:tcW w:w="4617" w:type="dxa"/>
          </w:tcPr>
          <w:p w:rsidR="00D327A4" w:rsidRDefault="00D327A4"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TNA HCA 3/46, fo. 145v</w:t>
            </w:r>
          </w:p>
        </w:tc>
      </w:tr>
      <w:tr w:rsidR="009A1419" w:rsidTr="00184FD9">
        <w:tc>
          <w:tcPr>
            <w:tcW w:w="851" w:type="dxa"/>
          </w:tcPr>
          <w:p w:rsidR="009A1419" w:rsidRDefault="009A1419"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1662</w:t>
            </w:r>
          </w:p>
        </w:tc>
        <w:tc>
          <w:tcPr>
            <w:tcW w:w="1701" w:type="dxa"/>
          </w:tcPr>
          <w:p w:rsidR="009A1419" w:rsidRDefault="009A1419"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Livorno</w:t>
            </w:r>
          </w:p>
        </w:tc>
        <w:tc>
          <w:tcPr>
            <w:tcW w:w="2471" w:type="dxa"/>
          </w:tcPr>
          <w:p w:rsidR="009A1419" w:rsidRPr="009A1419" w:rsidRDefault="009A1419"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i/>
              </w:rPr>
            </w:pPr>
            <w:r>
              <w:rPr>
                <w:rFonts w:cs="Times New Roman"/>
              </w:rPr>
              <w:t>1 dollar = 4s 9</w:t>
            </w:r>
            <w:r>
              <w:rPr>
                <w:rFonts w:cs="Times New Roman"/>
                <w:i/>
              </w:rPr>
              <w:t>d</w:t>
            </w:r>
          </w:p>
        </w:tc>
        <w:tc>
          <w:tcPr>
            <w:tcW w:w="4617" w:type="dxa"/>
          </w:tcPr>
          <w:p w:rsidR="009A1419" w:rsidRDefault="009A1419"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 xml:space="preserve">TNA HCA 13/129, </w:t>
            </w:r>
            <w:r w:rsidRPr="005A045D">
              <w:rPr>
                <w:rFonts w:cs="Times New Roman"/>
              </w:rPr>
              <w:t>answer of Jeremy Tye, 15 August 1662</w:t>
            </w:r>
          </w:p>
        </w:tc>
      </w:tr>
      <w:tr w:rsidR="00722EB0" w:rsidTr="00184FD9">
        <w:tc>
          <w:tcPr>
            <w:tcW w:w="851" w:type="dxa"/>
          </w:tcPr>
          <w:p w:rsidR="00722EB0" w:rsidRDefault="00722EB0"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1673</w:t>
            </w:r>
          </w:p>
        </w:tc>
        <w:tc>
          <w:tcPr>
            <w:tcW w:w="1701" w:type="dxa"/>
          </w:tcPr>
          <w:p w:rsidR="00722EB0" w:rsidRDefault="00722EB0"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Malaga</w:t>
            </w:r>
          </w:p>
        </w:tc>
        <w:tc>
          <w:tcPr>
            <w:tcW w:w="2471" w:type="dxa"/>
          </w:tcPr>
          <w:p w:rsidR="00722EB0" w:rsidRPr="00722EB0" w:rsidRDefault="00722EB0"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i/>
              </w:rPr>
            </w:pPr>
            <w:r>
              <w:rPr>
                <w:rFonts w:cs="Times New Roman"/>
              </w:rPr>
              <w:t>1 dollar = 4s 6</w:t>
            </w:r>
            <w:r>
              <w:rPr>
                <w:rFonts w:cs="Times New Roman"/>
                <w:i/>
              </w:rPr>
              <w:t>d</w:t>
            </w:r>
          </w:p>
        </w:tc>
        <w:tc>
          <w:tcPr>
            <w:tcW w:w="4617" w:type="dxa"/>
          </w:tcPr>
          <w:p w:rsidR="00722EB0" w:rsidRDefault="00722EB0"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 xml:space="preserve">TNA HCA 13/78, depositions of Thomas Goddard </w:t>
            </w:r>
            <w:r w:rsidRPr="005A045D">
              <w:rPr>
                <w:rFonts w:cs="Times New Roman"/>
              </w:rPr>
              <w:t>and Obadiah Sedgwick, 26 May 1676, Richard Bendarcus, 16 June 1676, and John Bush, 21 June 1676</w:t>
            </w:r>
          </w:p>
        </w:tc>
      </w:tr>
      <w:tr w:rsidR="00D909F1" w:rsidTr="00184FD9">
        <w:tc>
          <w:tcPr>
            <w:tcW w:w="851" w:type="dxa"/>
          </w:tcPr>
          <w:p w:rsidR="00D909F1" w:rsidRDefault="00D909F1"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1682</w:t>
            </w:r>
          </w:p>
        </w:tc>
        <w:tc>
          <w:tcPr>
            <w:tcW w:w="1701" w:type="dxa"/>
          </w:tcPr>
          <w:p w:rsidR="00D909F1" w:rsidRDefault="00D909F1"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Genoa</w:t>
            </w:r>
          </w:p>
        </w:tc>
        <w:tc>
          <w:tcPr>
            <w:tcW w:w="2471" w:type="dxa"/>
          </w:tcPr>
          <w:p w:rsidR="00D909F1" w:rsidRDefault="00D909F1"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p>
        </w:tc>
        <w:tc>
          <w:tcPr>
            <w:tcW w:w="4617" w:type="dxa"/>
          </w:tcPr>
          <w:p w:rsidR="00D909F1" w:rsidRDefault="00D909F1" w:rsidP="00722EB0">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p>
        </w:tc>
      </w:tr>
      <w:tr w:rsidR="00E05A80" w:rsidTr="00184FD9">
        <w:tc>
          <w:tcPr>
            <w:tcW w:w="851" w:type="dxa"/>
          </w:tcPr>
          <w:p w:rsidR="00E05A80" w:rsidRDefault="00E05A80"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1683</w:t>
            </w:r>
          </w:p>
        </w:tc>
        <w:tc>
          <w:tcPr>
            <w:tcW w:w="1701" w:type="dxa"/>
          </w:tcPr>
          <w:p w:rsidR="00E05A80" w:rsidRDefault="00E05A80"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Genoa</w:t>
            </w:r>
          </w:p>
        </w:tc>
        <w:tc>
          <w:tcPr>
            <w:tcW w:w="2471" w:type="dxa"/>
          </w:tcPr>
          <w:p w:rsidR="00E05A80" w:rsidRPr="00E05A80" w:rsidRDefault="00E05A80"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i/>
              </w:rPr>
            </w:pPr>
            <w:r>
              <w:rPr>
                <w:rFonts w:cs="Times New Roman"/>
              </w:rPr>
              <w:t>1 dollar = 5s 6</w:t>
            </w:r>
            <w:r>
              <w:rPr>
                <w:rFonts w:cs="Times New Roman"/>
                <w:i/>
              </w:rPr>
              <w:t>d</w:t>
            </w:r>
          </w:p>
        </w:tc>
        <w:tc>
          <w:tcPr>
            <w:tcW w:w="4617" w:type="dxa"/>
          </w:tcPr>
          <w:p w:rsidR="00E05A80" w:rsidRDefault="00E05A80" w:rsidP="00722EB0">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TNA HCA 13/132, answer of Thomas Smith, undated</w:t>
            </w:r>
            <w:r w:rsidR="009A7EF9">
              <w:rPr>
                <w:rFonts w:cs="Times New Roman"/>
              </w:rPr>
              <w:t>; HCA 24/121/109</w:t>
            </w:r>
          </w:p>
        </w:tc>
      </w:tr>
      <w:tr w:rsidR="00636D58" w:rsidTr="00184FD9">
        <w:tc>
          <w:tcPr>
            <w:tcW w:w="851" w:type="dxa"/>
          </w:tcPr>
          <w:p w:rsidR="00636D58" w:rsidRDefault="00636D58"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1685</w:t>
            </w:r>
          </w:p>
        </w:tc>
        <w:tc>
          <w:tcPr>
            <w:tcW w:w="1701" w:type="dxa"/>
          </w:tcPr>
          <w:p w:rsidR="00636D58" w:rsidRDefault="00636D58"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Mozambique</w:t>
            </w:r>
          </w:p>
        </w:tc>
        <w:tc>
          <w:tcPr>
            <w:tcW w:w="2471" w:type="dxa"/>
          </w:tcPr>
          <w:p w:rsidR="00636D58" w:rsidRPr="00636D58" w:rsidRDefault="00636D58"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i/>
              </w:rPr>
            </w:pPr>
            <w:r>
              <w:rPr>
                <w:rFonts w:cs="Times New Roman"/>
              </w:rPr>
              <w:t>1 dollar = 7s 6</w:t>
            </w:r>
            <w:r>
              <w:rPr>
                <w:rFonts w:cs="Times New Roman"/>
                <w:i/>
              </w:rPr>
              <w:t>d</w:t>
            </w:r>
          </w:p>
        </w:tc>
        <w:tc>
          <w:tcPr>
            <w:tcW w:w="4617" w:type="dxa"/>
          </w:tcPr>
          <w:p w:rsidR="00636D58" w:rsidRDefault="00636D58" w:rsidP="00722EB0">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TNA HCA 13/79, deposition of Roger Smith, 13 June 1685</w:t>
            </w:r>
          </w:p>
        </w:tc>
      </w:tr>
      <w:tr w:rsidR="00722EB0" w:rsidTr="00184FD9">
        <w:tc>
          <w:tcPr>
            <w:tcW w:w="851" w:type="dxa"/>
          </w:tcPr>
          <w:p w:rsidR="00722EB0" w:rsidRDefault="00722EB0"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1688</w:t>
            </w:r>
          </w:p>
        </w:tc>
        <w:tc>
          <w:tcPr>
            <w:tcW w:w="1701" w:type="dxa"/>
          </w:tcPr>
          <w:p w:rsidR="00722EB0" w:rsidRDefault="00722EB0"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Alicante</w:t>
            </w:r>
          </w:p>
        </w:tc>
        <w:tc>
          <w:tcPr>
            <w:tcW w:w="2471" w:type="dxa"/>
          </w:tcPr>
          <w:p w:rsidR="00722EB0" w:rsidRPr="00722EB0" w:rsidRDefault="00722EB0" w:rsidP="00C0716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i/>
              </w:rPr>
            </w:pPr>
            <w:r>
              <w:rPr>
                <w:rFonts w:cs="Times New Roman"/>
              </w:rPr>
              <w:t>1 dollar = 4s 4</w:t>
            </w:r>
            <w:r>
              <w:rPr>
                <w:rFonts w:cs="Times New Roman"/>
                <w:i/>
              </w:rPr>
              <w:t xml:space="preserve">d </w:t>
            </w:r>
            <w:r>
              <w:rPr>
                <w:rFonts w:cs="Times New Roman"/>
              </w:rPr>
              <w:t>– 4s 6</w:t>
            </w:r>
            <w:r>
              <w:rPr>
                <w:rFonts w:cs="Times New Roman"/>
                <w:i/>
              </w:rPr>
              <w:t>d</w:t>
            </w:r>
          </w:p>
        </w:tc>
        <w:tc>
          <w:tcPr>
            <w:tcW w:w="4617" w:type="dxa"/>
          </w:tcPr>
          <w:p w:rsidR="00722EB0" w:rsidRDefault="00722EB0" w:rsidP="00722EB0">
            <w:pPr>
              <w:pBdr>
                <w:top w:val="none" w:sz="0" w:space="0" w:color="auto"/>
                <w:left w:val="none" w:sz="0" w:space="0" w:color="auto"/>
                <w:bottom w:val="none" w:sz="0" w:space="0" w:color="auto"/>
                <w:right w:val="none" w:sz="0" w:space="0" w:color="auto"/>
                <w:between w:val="none" w:sz="0" w:space="0" w:color="auto"/>
              </w:pBdr>
              <w:spacing w:line="360" w:lineRule="auto"/>
              <w:jc w:val="center"/>
              <w:rPr>
                <w:rFonts w:cs="Times New Roman"/>
              </w:rPr>
            </w:pPr>
            <w:r>
              <w:rPr>
                <w:rFonts w:cs="Times New Roman"/>
              </w:rPr>
              <w:t xml:space="preserve">TNA HCA </w:t>
            </w:r>
            <w:r w:rsidRPr="005A045D">
              <w:rPr>
                <w:rFonts w:cs="Times New Roman"/>
              </w:rPr>
              <w:t>13/132, answer</w:t>
            </w:r>
            <w:r>
              <w:rPr>
                <w:rFonts w:cs="Times New Roman"/>
              </w:rPr>
              <w:t xml:space="preserve"> of Henry Wallis, 11 July 1688</w:t>
            </w:r>
            <w:r w:rsidR="00D909F1">
              <w:rPr>
                <w:rFonts w:cs="Times New Roman"/>
              </w:rPr>
              <w:t>; TNA HCA 23/22/91</w:t>
            </w:r>
          </w:p>
        </w:tc>
      </w:tr>
    </w:tbl>
    <w:p w:rsidR="001F3D9F" w:rsidRPr="008A69CA" w:rsidRDefault="001F3D9F" w:rsidP="00080E50">
      <w:pPr>
        <w:spacing w:line="360" w:lineRule="auto"/>
        <w:jc w:val="both"/>
        <w:rPr>
          <w:rFonts w:cs="Times New Roman"/>
        </w:rPr>
      </w:pPr>
    </w:p>
    <w:sectPr w:rsidR="001F3D9F" w:rsidRPr="008A69CA" w:rsidSect="002A0E4E">
      <w:headerReference w:type="default" r:id="rId9"/>
      <w:footerReference w:type="default" r:id="rId10"/>
      <w:headerReference w:type="first" r:id="rId11"/>
      <w:footerReference w:type="first" r:id="rId12"/>
      <w:pgSz w:w="11906" w:h="16838"/>
      <w:pgMar w:top="1440" w:right="1440" w:bottom="1440" w:left="1440"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E79" w:rsidRDefault="00F31E79" w:rsidP="004C6BD8">
      <w:r>
        <w:separator/>
      </w:r>
    </w:p>
  </w:endnote>
  <w:endnote w:type="continuationSeparator" w:id="0">
    <w:p w:rsidR="00F31E79" w:rsidRDefault="00F31E79" w:rsidP="004C6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488685"/>
      <w:docPartObj>
        <w:docPartGallery w:val="Page Numbers (Bottom of Page)"/>
        <w:docPartUnique/>
      </w:docPartObj>
    </w:sdtPr>
    <w:sdtEndPr>
      <w:rPr>
        <w:noProof/>
      </w:rPr>
    </w:sdtEndPr>
    <w:sdtContent>
      <w:p w:rsidR="00100DCE" w:rsidRDefault="00100DCE" w:rsidP="000A4CC4">
        <w:pPr>
          <w:pStyle w:val="Footer"/>
          <w:jc w:val="right"/>
        </w:pPr>
        <w:r>
          <w:fldChar w:fldCharType="begin"/>
        </w:r>
        <w:r>
          <w:instrText xml:space="preserve"> PAGE   \* MERGEFORMAT </w:instrText>
        </w:r>
        <w:r>
          <w:fldChar w:fldCharType="separate"/>
        </w:r>
        <w:r w:rsidR="005C0B1D">
          <w:rPr>
            <w:noProof/>
          </w:rPr>
          <w:t>14</w:t>
        </w:r>
        <w:r>
          <w:rPr>
            <w:noProof/>
          </w:rPr>
          <w:fldChar w:fldCharType="end"/>
        </w:r>
      </w:p>
    </w:sdtContent>
  </w:sdt>
  <w:p w:rsidR="00100DCE" w:rsidRDefault="00100D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442569"/>
      <w:docPartObj>
        <w:docPartGallery w:val="Page Numbers (Bottom of Page)"/>
        <w:docPartUnique/>
      </w:docPartObj>
    </w:sdtPr>
    <w:sdtEndPr>
      <w:rPr>
        <w:noProof/>
      </w:rPr>
    </w:sdtEndPr>
    <w:sdtContent>
      <w:p w:rsidR="00100DCE" w:rsidRDefault="00100DCE" w:rsidP="000A4CC4">
        <w:pPr>
          <w:pStyle w:val="Footer"/>
          <w:jc w:val="right"/>
        </w:pPr>
        <w:r>
          <w:fldChar w:fldCharType="begin"/>
        </w:r>
        <w:r>
          <w:instrText xml:space="preserve"> PAGE   \* MERGEFORMAT </w:instrText>
        </w:r>
        <w:r>
          <w:fldChar w:fldCharType="separate"/>
        </w:r>
        <w:r w:rsidR="005C0B1D">
          <w:rPr>
            <w:noProof/>
          </w:rPr>
          <w:t>1</w:t>
        </w:r>
        <w:r>
          <w:rPr>
            <w:noProof/>
          </w:rPr>
          <w:fldChar w:fldCharType="end"/>
        </w:r>
      </w:p>
    </w:sdtContent>
  </w:sdt>
  <w:p w:rsidR="00100DCE" w:rsidRDefault="00100D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E79" w:rsidRDefault="00F31E79" w:rsidP="004C6BD8">
      <w:r>
        <w:separator/>
      </w:r>
    </w:p>
  </w:footnote>
  <w:footnote w:type="continuationSeparator" w:id="0">
    <w:p w:rsidR="00F31E79" w:rsidRDefault="00F31E79" w:rsidP="004C6BD8">
      <w:r>
        <w:continuationSeparator/>
      </w:r>
    </w:p>
  </w:footnote>
  <w:footnote w:id="1">
    <w:p w:rsidR="00184ECC" w:rsidRDefault="00184ECC">
      <w:pPr>
        <w:pStyle w:val="FootnoteText"/>
      </w:pPr>
      <w:r w:rsidRPr="00184ECC">
        <w:rPr>
          <w:rStyle w:val="FootnoteReference"/>
        </w:rPr>
        <w:sym w:font="Symbol" w:char="F02A"/>
      </w:r>
      <w:r>
        <w:t xml:space="preserve"> </w:t>
      </w:r>
      <w:proofErr w:type="gramStart"/>
      <w:r>
        <w:t>Merton College, Oxford.</w:t>
      </w:r>
      <w:proofErr w:type="gramEnd"/>
      <w:r>
        <w:t xml:space="preserve"> Email: </w:t>
      </w:r>
      <w:hyperlink r:id="rId1" w:history="1">
        <w:r w:rsidRPr="00827709">
          <w:rPr>
            <w:rStyle w:val="Hyperlink"/>
          </w:rPr>
          <w:t>richard.blakemore@history.ox.ac.uk</w:t>
        </w:r>
      </w:hyperlink>
      <w:r>
        <w:t xml:space="preserve">. </w:t>
      </w:r>
    </w:p>
  </w:footnote>
  <w:footnote w:id="2">
    <w:p w:rsidR="00100DCE" w:rsidRDefault="00100DCE">
      <w:pPr>
        <w:pStyle w:val="FootnoteText"/>
      </w:pPr>
      <w:r>
        <w:rPr>
          <w:rStyle w:val="FootnoteReference"/>
        </w:rPr>
        <w:footnoteRef/>
      </w:r>
      <w:r>
        <w:t xml:space="preserve"> More information concerning the project, including a list of publications, can be found at the project webpage:</w:t>
      </w:r>
      <w:r w:rsidRPr="00F04F04">
        <w:t xml:space="preserve"> </w:t>
      </w:r>
      <w:hyperlink r:id="rId2" w:history="1">
        <w:r w:rsidRPr="006973CE">
          <w:rPr>
            <w:rStyle w:val="Hyperlink"/>
          </w:rPr>
          <w:t>http://humanities.exeter.ac.uk/history/research/centres/maritime/research/modernity/</w:t>
        </w:r>
      </w:hyperlink>
      <w:r>
        <w:t xml:space="preserve">.   </w:t>
      </w:r>
    </w:p>
  </w:footnote>
  <w:footnote w:id="3">
    <w:p w:rsidR="00100DCE" w:rsidRDefault="00100DCE">
      <w:pPr>
        <w:pStyle w:val="FootnoteText"/>
      </w:pPr>
      <w:r>
        <w:rPr>
          <w:rStyle w:val="FootnoteReference"/>
        </w:rPr>
        <w:footnoteRef/>
      </w:r>
      <w:r>
        <w:t xml:space="preserve"> </w:t>
      </w:r>
      <w:r w:rsidR="002B2B06">
        <w:rPr>
          <w:color w:val="FF0000"/>
        </w:rPr>
        <w:t>URL of</w:t>
      </w:r>
      <w:r w:rsidR="0013237C" w:rsidRPr="0013237C">
        <w:rPr>
          <w:color w:val="FF0000"/>
        </w:rPr>
        <w:t xml:space="preserve"> file</w:t>
      </w:r>
    </w:p>
  </w:footnote>
  <w:footnote w:id="4">
    <w:p w:rsidR="00100DCE" w:rsidRPr="006C20CA" w:rsidRDefault="00100DCE">
      <w:pPr>
        <w:pStyle w:val="FootnoteText"/>
      </w:pPr>
      <w:r w:rsidRPr="006C20CA">
        <w:rPr>
          <w:rStyle w:val="FootnoteReference"/>
        </w:rPr>
        <w:footnoteRef/>
      </w:r>
      <w:r w:rsidRPr="006C20CA">
        <w:t xml:space="preserve"> </w:t>
      </w:r>
      <w:r>
        <w:rPr>
          <w:color w:val="FF0000"/>
        </w:rPr>
        <w:t>A</w:t>
      </w:r>
      <w:r w:rsidRPr="0030767E">
        <w:rPr>
          <w:color w:val="FF0000"/>
        </w:rPr>
        <w:t>rticle</w:t>
      </w:r>
      <w:r>
        <w:rPr>
          <w:color w:val="FF0000"/>
        </w:rPr>
        <w:t xml:space="preserve"> details</w:t>
      </w:r>
    </w:p>
  </w:footnote>
  <w:footnote w:id="5">
    <w:p w:rsidR="00100DCE" w:rsidRPr="00B91F62" w:rsidRDefault="00100DCE">
      <w:pPr>
        <w:pStyle w:val="FootnoteText"/>
        <w:rPr>
          <w:i/>
        </w:rPr>
      </w:pPr>
      <w:r>
        <w:rPr>
          <w:rStyle w:val="FootnoteReference"/>
        </w:rPr>
        <w:footnoteRef/>
      </w:r>
      <w:r>
        <w:t xml:space="preserve"> See George F. Steckley, ‘Merchants and the admiralty court during the English revolution’, </w:t>
      </w:r>
      <w:r>
        <w:rPr>
          <w:i/>
        </w:rPr>
        <w:t>The American Journal of Legal History</w:t>
      </w:r>
      <w:r>
        <w:t xml:space="preserve">, 22 (1978), pp. 137-75; George F. Steckley, ‘Litigious mariners: wage cases in the seventeenth-century admiralty court’, </w:t>
      </w:r>
      <w:r>
        <w:rPr>
          <w:i/>
        </w:rPr>
        <w:t>Historical Journal</w:t>
      </w:r>
      <w:r>
        <w:t xml:space="preserve">, 42 (1999), pp. 315-45; George F. Steckley, ‘Bottomry bonds in the seventeenth-century admiralty court’, </w:t>
      </w:r>
      <w:r>
        <w:rPr>
          <w:i/>
        </w:rPr>
        <w:t>The American Journal of Legal History</w:t>
      </w:r>
      <w:r>
        <w:t xml:space="preserve">, 45 (2001), pp. 256-77; George F. Steckley, ‘Collisions, prohibitions, and the admiralty court in seventeenth-century London’, </w:t>
      </w:r>
      <w:r>
        <w:rPr>
          <w:i/>
        </w:rPr>
        <w:t>Law and History Review</w:t>
      </w:r>
      <w:r>
        <w:t xml:space="preserve">, 21 (2003), pp. 41-67; Richard J. Blakemore, ‘The legal world of English sailors, c. 1575-1729’ in Maria Fusaro, Bernard Allaire, Richard J. Blakemore and Tijl Vanneste, eds, </w:t>
      </w:r>
      <w:r>
        <w:rPr>
          <w:i/>
        </w:rPr>
        <w:t xml:space="preserve">Law, labour and empire: comparative perspectives on seafarers, c. 1500-1800 </w:t>
      </w:r>
      <w:r>
        <w:t xml:space="preserve">(Basingstoke, 2015), pp. 100-20. </w:t>
      </w:r>
    </w:p>
  </w:footnote>
  <w:footnote w:id="6">
    <w:p w:rsidR="00100DCE" w:rsidRDefault="00100DCE">
      <w:pPr>
        <w:pStyle w:val="FootnoteText"/>
      </w:pPr>
      <w:r>
        <w:rPr>
          <w:rStyle w:val="FootnoteReference"/>
        </w:rPr>
        <w:footnoteRef/>
      </w:r>
      <w:r>
        <w:t xml:space="preserve"> Ralph </w:t>
      </w:r>
      <w:r w:rsidRPr="0031593B">
        <w:t>Davis,</w:t>
      </w:r>
      <w:r w:rsidRPr="0031593B">
        <w:rPr>
          <w:i/>
        </w:rPr>
        <w:t xml:space="preserve"> </w:t>
      </w:r>
      <w:r>
        <w:rPr>
          <w:i/>
        </w:rPr>
        <w:t xml:space="preserve">The rise of the </w:t>
      </w:r>
      <w:r w:rsidRPr="0031593B">
        <w:rPr>
          <w:i/>
        </w:rPr>
        <w:t>English shipping industry</w:t>
      </w:r>
      <w:r>
        <w:rPr>
          <w:i/>
        </w:rPr>
        <w:t xml:space="preserve"> in the seventeenth and eighteenth centuries </w:t>
      </w:r>
      <w:r>
        <w:t>(Newton Abbot, 1972)</w:t>
      </w:r>
      <w:r w:rsidRPr="0031593B">
        <w:t>, pp. 135-8</w:t>
      </w:r>
      <w:r>
        <w:t xml:space="preserve">; Kenneth R. </w:t>
      </w:r>
      <w:r w:rsidRPr="00394D58">
        <w:t xml:space="preserve">Andrews, </w:t>
      </w:r>
      <w:r w:rsidRPr="00394D58">
        <w:rPr>
          <w:i/>
        </w:rPr>
        <w:t>Ships, money and politics</w:t>
      </w:r>
      <w:r>
        <w:rPr>
          <w:i/>
        </w:rPr>
        <w:t xml:space="preserve">: seafaring and naval enterprise in the reign of Charles I </w:t>
      </w:r>
      <w:r>
        <w:t>(Cambridge, 1991)</w:t>
      </w:r>
      <w:r w:rsidRPr="00394D58">
        <w:t xml:space="preserve">, pp. 76; </w:t>
      </w:r>
      <w:r w:rsidRPr="00194F38">
        <w:rPr>
          <w:bCs/>
        </w:rPr>
        <w:t>Peter Earle, ‘English sailors, 1570-1775’, in Paul c. van Royen, Jaap R. Bruijn and Jan Lucassen, eds.,</w:t>
      </w:r>
      <w:r w:rsidRPr="00194F38">
        <w:t> </w:t>
      </w:r>
      <w:r w:rsidRPr="00194F38">
        <w:rPr>
          <w:bCs/>
          <w:i/>
          <w:iCs/>
        </w:rPr>
        <w:t>‘Those emblems of hell’? European sailors and the maritime labour market, 1570-1870</w:t>
      </w:r>
      <w:r w:rsidRPr="00194F38">
        <w:t> </w:t>
      </w:r>
      <w:r w:rsidRPr="00194F38">
        <w:rPr>
          <w:bCs/>
        </w:rPr>
        <w:t>(St John’s, Newfoundland, 1997), pp. 73-92, at</w:t>
      </w:r>
      <w:r w:rsidRPr="00394D58">
        <w:t xml:space="preserve"> pp. 82-4; </w:t>
      </w:r>
      <w:r w:rsidRPr="00194F38">
        <w:rPr>
          <w:bCs/>
        </w:rPr>
        <w:t>Peter Earle,</w:t>
      </w:r>
      <w:r w:rsidRPr="00194F38">
        <w:t> </w:t>
      </w:r>
      <w:r w:rsidRPr="00194F38">
        <w:rPr>
          <w:bCs/>
          <w:i/>
          <w:iCs/>
        </w:rPr>
        <w:t>Sailors: English merchant seamen 1650-1775</w:t>
      </w:r>
      <w:r w:rsidRPr="00194F38">
        <w:t> </w:t>
      </w:r>
      <w:r w:rsidRPr="00194F38">
        <w:rPr>
          <w:bCs/>
        </w:rPr>
        <w:t>(London, 1998),</w:t>
      </w:r>
      <w:r w:rsidRPr="00394D58">
        <w:t xml:space="preserve"> pp. 29-34; </w:t>
      </w:r>
      <w:r w:rsidRPr="003C094C">
        <w:rPr>
          <w:bCs/>
        </w:rPr>
        <w:t>Marcus Rediker, </w:t>
      </w:r>
      <w:r w:rsidRPr="003C094C">
        <w:rPr>
          <w:bCs/>
          <w:i/>
          <w:iCs/>
        </w:rPr>
        <w:t>Between the devil and the deep blue sea: merchant seamen, pirates and the Anglo-American maritime world, 1700-1750</w:t>
      </w:r>
      <w:r w:rsidRPr="003C094C">
        <w:rPr>
          <w:bCs/>
        </w:rPr>
        <w:t> (Cambridge, 1987),</w:t>
      </w:r>
      <w:r>
        <w:rPr>
          <w:b/>
          <w:bCs/>
        </w:rPr>
        <w:t xml:space="preserve"> </w:t>
      </w:r>
      <w:r w:rsidRPr="00394D58">
        <w:t xml:space="preserve">pp. 119, 121-24, 304-6; </w:t>
      </w:r>
      <w:r w:rsidRPr="003C094C">
        <w:rPr>
          <w:bCs/>
        </w:rPr>
        <w:t>Cheryl A. Fury,</w:t>
      </w:r>
      <w:r w:rsidRPr="003C094C">
        <w:t> </w:t>
      </w:r>
      <w:r w:rsidRPr="003C094C">
        <w:rPr>
          <w:bCs/>
          <w:i/>
          <w:iCs/>
        </w:rPr>
        <w:t>Tides in the affairs of men: the social history of Elizabethan seamen, 1580-1603</w:t>
      </w:r>
      <w:r w:rsidRPr="003C094C">
        <w:t> </w:t>
      </w:r>
      <w:r w:rsidRPr="003C094C">
        <w:rPr>
          <w:bCs/>
        </w:rPr>
        <w:t>(London, 2002),</w:t>
      </w:r>
      <w:r w:rsidRPr="00394D58">
        <w:t xml:space="preserve"> pp. 93-6, 99-100.</w:t>
      </w:r>
      <w:r>
        <w:t xml:space="preserve"> </w:t>
      </w:r>
    </w:p>
  </w:footnote>
  <w:footnote w:id="7">
    <w:p w:rsidR="00100DCE" w:rsidRPr="006B4D72" w:rsidRDefault="00100DCE">
      <w:pPr>
        <w:pStyle w:val="FootnoteText"/>
      </w:pPr>
      <w:r w:rsidRPr="006C20CA">
        <w:rPr>
          <w:rStyle w:val="FootnoteReference"/>
        </w:rPr>
        <w:footnoteRef/>
      </w:r>
      <w:r w:rsidRPr="006C20CA">
        <w:t xml:space="preserve"> </w:t>
      </w:r>
      <w:r>
        <w:t xml:space="preserve">George F. Steckley, ‘Instance cases at admiralty in 1657: a court “packed up with sutors”’, </w:t>
      </w:r>
      <w:r>
        <w:rPr>
          <w:i/>
        </w:rPr>
        <w:t>The Journal of Legal History</w:t>
      </w:r>
      <w:r>
        <w:t>, 7 (1986), pp. 68-83.</w:t>
      </w:r>
    </w:p>
  </w:footnote>
  <w:footnote w:id="8">
    <w:p w:rsidR="00100DCE" w:rsidRPr="006C20CA" w:rsidRDefault="00100DCE" w:rsidP="00420CE8">
      <w:pPr>
        <w:pStyle w:val="FootnoteText"/>
      </w:pPr>
      <w:r w:rsidRPr="00F71DA4">
        <w:rPr>
          <w:rStyle w:val="FootnoteReference"/>
        </w:rPr>
        <w:footnoteRef/>
      </w:r>
      <w:r w:rsidRPr="00F71DA4">
        <w:t xml:space="preserve"> </w:t>
      </w:r>
      <w:r w:rsidRPr="006C20CA">
        <w:t xml:space="preserve">I am grateful to the MarineLives project, especially Colin Greenstreet, for assistance and discussion with the 1650s sample: see </w:t>
      </w:r>
      <w:hyperlink r:id="rId3" w:history="1">
        <w:r w:rsidRPr="006C20CA">
          <w:rPr>
            <w:rStyle w:val="Hyperlink"/>
          </w:rPr>
          <w:t>http://www.marinelives.org/</w:t>
        </w:r>
      </w:hyperlink>
      <w:r w:rsidRPr="006C20CA">
        <w:t>.</w:t>
      </w:r>
    </w:p>
  </w:footnote>
  <w:footnote w:id="9">
    <w:p w:rsidR="00100DCE" w:rsidRPr="005310B9" w:rsidRDefault="00100DCE">
      <w:pPr>
        <w:pStyle w:val="FootnoteText"/>
      </w:pPr>
      <w:r w:rsidRPr="006C20CA">
        <w:rPr>
          <w:rStyle w:val="FootnoteReference"/>
        </w:rPr>
        <w:footnoteRef/>
      </w:r>
      <w:r w:rsidRPr="006C20CA">
        <w:t xml:space="preserve"> </w:t>
      </w:r>
      <w:r>
        <w:t xml:space="preserve">Michela D’Angelo, ‘In the “English” Mediterranean (1511-1815)’, </w:t>
      </w:r>
      <w:r>
        <w:rPr>
          <w:i/>
        </w:rPr>
        <w:t>Journal of Mediterranean Studies</w:t>
      </w:r>
      <w:r>
        <w:t xml:space="preserve">, 12 (2002), pp. 271-85; Molly Greene, ‘Beyond the northern invasion: the Mediterranean in the seventeenth century’, </w:t>
      </w:r>
      <w:r>
        <w:rPr>
          <w:i/>
        </w:rPr>
        <w:t>Past &amp; Present</w:t>
      </w:r>
      <w:r>
        <w:t xml:space="preserve">, 174 (2002), pp. 42-71; Colin Heywood, ‘The English in the Mediterranean, 1600-1630: a post-Braudelian perspective on the “nothern invasion”’, in Maria Fusaro, Colin Heywood, and Mohamed-Salah Omri, eds, </w:t>
      </w:r>
      <w:r>
        <w:rPr>
          <w:i/>
        </w:rPr>
        <w:t xml:space="preserve">Trade and cultural exchange in the early modern Mediterranean: Braudel’s maritime legacy </w:t>
      </w:r>
      <w:r>
        <w:t>(</w:t>
      </w:r>
      <w:r>
        <w:rPr>
          <w:lang w:val="en-US"/>
        </w:rPr>
        <w:t>London, 2010),</w:t>
      </w:r>
      <w:r>
        <w:t xml:space="preserve"> pp. 23-44; Tijl Vanneste, ‘Sailing through the strait: seamen’s professional trajectories from a segmented labour market in Holland to a fragmented Mediterranean’ in Fusaro, Allaire, Blakemore, and Vanneste, eds, </w:t>
      </w:r>
      <w:r>
        <w:rPr>
          <w:i/>
        </w:rPr>
        <w:t>Law, labour, and empire</w:t>
      </w:r>
      <w:r>
        <w:t>, pp. 123-40.</w:t>
      </w:r>
    </w:p>
  </w:footnote>
  <w:footnote w:id="10">
    <w:p w:rsidR="00100DCE" w:rsidRPr="00B10971" w:rsidRDefault="00100DCE">
      <w:pPr>
        <w:pStyle w:val="FootnoteText"/>
      </w:pPr>
      <w:r w:rsidRPr="006C20CA">
        <w:rPr>
          <w:rStyle w:val="FootnoteReference"/>
        </w:rPr>
        <w:footnoteRef/>
      </w:r>
      <w:r w:rsidRPr="006C20CA">
        <w:t xml:space="preserve"> </w:t>
      </w:r>
      <w:r>
        <w:t xml:space="preserve">Steckley, ‘Merchants and the admiralty court’; J. R. Jones, </w:t>
      </w:r>
      <w:r>
        <w:rPr>
          <w:i/>
        </w:rPr>
        <w:t xml:space="preserve">The Anglo-Dutch wars of the seventeenth century </w:t>
      </w:r>
      <w:r>
        <w:t xml:space="preserve">(London, 1996); Maria Fusaro, ‘Public service and private trade: Northern seamen in seventeenth-century Venetian courts of justice’, </w:t>
      </w:r>
      <w:r>
        <w:rPr>
          <w:i/>
        </w:rPr>
        <w:t>International Journal of Maritime History</w:t>
      </w:r>
      <w:r>
        <w:t>, 27 (2015), pp. 3-25.</w:t>
      </w:r>
    </w:p>
  </w:footnote>
  <w:footnote w:id="11">
    <w:p w:rsidR="00100DCE" w:rsidRPr="00A76DC6" w:rsidRDefault="00100DCE">
      <w:pPr>
        <w:pStyle w:val="FootnoteText"/>
      </w:pPr>
      <w:r w:rsidRPr="006C20CA">
        <w:rPr>
          <w:rStyle w:val="FootnoteReference"/>
        </w:rPr>
        <w:footnoteRef/>
      </w:r>
      <w:r w:rsidRPr="006C20CA">
        <w:t xml:space="preserve"> </w:t>
      </w:r>
      <w:r>
        <w:t>Maria Fusaro, ‘</w:t>
      </w:r>
      <w:proofErr w:type="gramStart"/>
      <w:r>
        <w:t>The</w:t>
      </w:r>
      <w:proofErr w:type="gramEnd"/>
      <w:r>
        <w:t xml:space="preserve"> invasion of northern litigants: English and Dutch seamen in Mediterranean courts of law’, and Bernard Allaire, ‘Between Oléron and Colbert: the evolution of French maritime law until the seventeenth century’, in Fusaro, Allaire, Blakemore, and Vanneste, eds, </w:t>
      </w:r>
      <w:r>
        <w:rPr>
          <w:i/>
        </w:rPr>
        <w:t>Law, labour, and empire</w:t>
      </w:r>
      <w:r>
        <w:t>, pp. 21-42 and 79-99.</w:t>
      </w:r>
    </w:p>
  </w:footnote>
  <w:footnote w:id="12">
    <w:p w:rsidR="00100DCE" w:rsidRPr="006C20CA" w:rsidRDefault="00100DCE" w:rsidP="00420CE8">
      <w:pPr>
        <w:pStyle w:val="FootnoteText"/>
      </w:pPr>
      <w:r w:rsidRPr="006C20CA">
        <w:rPr>
          <w:rStyle w:val="FootnoteReference"/>
        </w:rPr>
        <w:footnoteRef/>
      </w:r>
      <w:r w:rsidRPr="006C20CA">
        <w:t xml:space="preserve"> </w:t>
      </w:r>
      <w:proofErr w:type="gramStart"/>
      <w:r w:rsidRPr="006C20CA">
        <w:t>TNA HCA 24/57-60, 106-109, 112-113, 144, and 121.</w:t>
      </w:r>
      <w:proofErr w:type="gramEnd"/>
    </w:p>
  </w:footnote>
  <w:footnote w:id="13">
    <w:p w:rsidR="00100DCE" w:rsidRPr="006C20CA" w:rsidRDefault="00100DCE" w:rsidP="00420CE8">
      <w:pPr>
        <w:pStyle w:val="FootnoteText"/>
      </w:pPr>
      <w:r w:rsidRPr="006C20CA">
        <w:rPr>
          <w:rStyle w:val="FootnoteReference"/>
        </w:rPr>
        <w:footnoteRef/>
      </w:r>
      <w:r w:rsidRPr="006C20CA">
        <w:t xml:space="preserve"> </w:t>
      </w:r>
      <w:proofErr w:type="gramStart"/>
      <w:r w:rsidRPr="006C20CA">
        <w:t>TNA HCA 23/4, 14-15, 18, and 22.</w:t>
      </w:r>
      <w:proofErr w:type="gramEnd"/>
    </w:p>
  </w:footnote>
  <w:footnote w:id="14">
    <w:p w:rsidR="00100DCE" w:rsidRPr="006C20CA" w:rsidRDefault="00100DCE" w:rsidP="00420CE8">
      <w:pPr>
        <w:pStyle w:val="FootnoteText"/>
      </w:pPr>
      <w:r w:rsidRPr="006C20CA">
        <w:rPr>
          <w:rStyle w:val="FootnoteReference"/>
        </w:rPr>
        <w:footnoteRef/>
      </w:r>
      <w:r w:rsidRPr="006C20CA">
        <w:t xml:space="preserve"> TNA HCA 13/28-30, 59-62, 70-72, 78-79, 96, 101, 119-122, 127-129, and 132.</w:t>
      </w:r>
    </w:p>
  </w:footnote>
  <w:footnote w:id="15">
    <w:p w:rsidR="00100DCE" w:rsidRPr="006C20CA" w:rsidRDefault="00100DCE" w:rsidP="00420CE8">
      <w:pPr>
        <w:pStyle w:val="FootnoteText"/>
      </w:pPr>
      <w:r w:rsidRPr="006C20CA">
        <w:rPr>
          <w:rStyle w:val="FootnoteReference"/>
        </w:rPr>
        <w:footnoteRef/>
      </w:r>
      <w:r w:rsidRPr="006C20CA">
        <w:t xml:space="preserve"> </w:t>
      </w:r>
      <w:proofErr w:type="gramStart"/>
      <w:r w:rsidRPr="006C20CA">
        <w:t>TNA HCA 3/21-22, 41-43, 46-48, and 56.</w:t>
      </w:r>
      <w:proofErr w:type="gramEnd"/>
    </w:p>
  </w:footnote>
  <w:footnote w:id="16">
    <w:p w:rsidR="00100DCE" w:rsidRDefault="00100DCE">
      <w:pPr>
        <w:pStyle w:val="FootnoteText"/>
      </w:pPr>
      <w:r>
        <w:rPr>
          <w:rStyle w:val="FootnoteReference"/>
        </w:rPr>
        <w:footnoteRef/>
      </w:r>
      <w:r>
        <w:t xml:space="preserve"> TNA </w:t>
      </w:r>
      <w:r w:rsidRPr="005D71A9">
        <w:t xml:space="preserve">HCA 3/43, </w:t>
      </w:r>
      <w:proofErr w:type="gramStart"/>
      <w:r w:rsidRPr="005D71A9">
        <w:t>fo</w:t>
      </w:r>
      <w:proofErr w:type="gramEnd"/>
      <w:r w:rsidRPr="005D71A9">
        <w:t>. 497r.</w:t>
      </w:r>
    </w:p>
  </w:footnote>
  <w:footnote w:id="17">
    <w:p w:rsidR="00100DCE" w:rsidRPr="006C20CA" w:rsidRDefault="00100DCE" w:rsidP="00420CE8">
      <w:pPr>
        <w:pStyle w:val="FootnoteText"/>
      </w:pPr>
      <w:r w:rsidRPr="006C20CA">
        <w:rPr>
          <w:rStyle w:val="FootnoteReference"/>
        </w:rPr>
        <w:footnoteRef/>
      </w:r>
      <w:r w:rsidRPr="006C20CA">
        <w:t xml:space="preserve"> </w:t>
      </w:r>
      <w:proofErr w:type="gramStart"/>
      <w:r w:rsidRPr="006C20CA">
        <w:t>TNA HCA 1; HCA 15; HCA 30.</w:t>
      </w:r>
      <w:proofErr w:type="gramEnd"/>
    </w:p>
  </w:footnote>
  <w:footnote w:id="18">
    <w:p w:rsidR="00846C72" w:rsidRDefault="00846C72">
      <w:pPr>
        <w:pStyle w:val="FootnoteText"/>
      </w:pPr>
      <w:r>
        <w:rPr>
          <w:rStyle w:val="FootnoteReference"/>
        </w:rPr>
        <w:footnoteRef/>
      </w:r>
      <w:r>
        <w:t xml:space="preserve"> </w:t>
      </w:r>
      <w:r w:rsidRPr="00BC3B51">
        <w:rPr>
          <w:b/>
        </w:rPr>
        <w:t>ID</w:t>
      </w:r>
      <w:r>
        <w:t xml:space="preserve"> 159, 178, 184, 190, 195, 202, 217, 227, 354, 356, 357, 484, 575, 669, 932, 933, 986, 1058, 1146, 1147, 1148, 1216, 1796 and 1797.</w:t>
      </w:r>
    </w:p>
  </w:footnote>
  <w:footnote w:id="19">
    <w:p w:rsidR="00715D1F" w:rsidRDefault="00715D1F">
      <w:pPr>
        <w:pStyle w:val="FootnoteText"/>
      </w:pPr>
      <w:r>
        <w:rPr>
          <w:rStyle w:val="FootnoteReference"/>
        </w:rPr>
        <w:footnoteRef/>
      </w:r>
      <w:r>
        <w:t xml:space="preserve"> </w:t>
      </w:r>
      <w:proofErr w:type="gramStart"/>
      <w:r w:rsidR="003F54F2">
        <w:rPr>
          <w:b/>
        </w:rPr>
        <w:t xml:space="preserve">Vge no </w:t>
      </w:r>
      <w:r w:rsidR="003F54F2">
        <w:t xml:space="preserve">126-140 and 237, encompassing </w:t>
      </w:r>
      <w:r w:rsidRPr="00BC3B51">
        <w:rPr>
          <w:b/>
        </w:rPr>
        <w:t>ID</w:t>
      </w:r>
      <w:r>
        <w:t xml:space="preserve"> 1244-1286 and 1841-1817</w:t>
      </w:r>
      <w:r w:rsidR="00B96B09">
        <w:t>.</w:t>
      </w:r>
      <w:proofErr w:type="gramEnd"/>
    </w:p>
  </w:footnote>
  <w:footnote w:id="20">
    <w:p w:rsidR="00100DCE" w:rsidRDefault="00100DCE">
      <w:pPr>
        <w:pStyle w:val="FootnoteText"/>
      </w:pPr>
      <w:r>
        <w:rPr>
          <w:rStyle w:val="FootnoteReference"/>
        </w:rPr>
        <w:footnoteRef/>
      </w:r>
      <w:r>
        <w:t xml:space="preserve"> </w:t>
      </w:r>
      <w:r w:rsidRPr="005C3145">
        <w:rPr>
          <w:color w:val="FF0000"/>
        </w:rPr>
        <w:t>This is discussed in more detail in my article.</w:t>
      </w:r>
    </w:p>
  </w:footnote>
  <w:footnote w:id="21">
    <w:p w:rsidR="004C2601" w:rsidRDefault="004C2601">
      <w:pPr>
        <w:pStyle w:val="FootnoteText"/>
      </w:pPr>
      <w:r>
        <w:rPr>
          <w:rStyle w:val="FootnoteReference"/>
        </w:rPr>
        <w:footnoteRef/>
      </w:r>
      <w:r>
        <w:t xml:space="preserve"> </w:t>
      </w:r>
      <w:r w:rsidRPr="00B7191C">
        <w:rPr>
          <w:b/>
        </w:rPr>
        <w:t>ID</w:t>
      </w:r>
      <w:r>
        <w:t xml:space="preserve"> 6, 50, 55, 362, 501, 820, 846,</w:t>
      </w:r>
      <w:r w:rsidR="0073676F">
        <w:t xml:space="preserve"> 858, 1098, 1228, 1440 and 1441.</w:t>
      </w:r>
    </w:p>
  </w:footnote>
  <w:footnote w:id="22">
    <w:p w:rsidR="00BC3B51" w:rsidRDefault="00BC3B51">
      <w:pPr>
        <w:pStyle w:val="FootnoteText"/>
      </w:pPr>
      <w:r>
        <w:rPr>
          <w:rStyle w:val="FootnoteReference"/>
        </w:rPr>
        <w:footnoteRef/>
      </w:r>
      <w:r>
        <w:t xml:space="preserve"> </w:t>
      </w:r>
      <w:r w:rsidRPr="00B7191C">
        <w:rPr>
          <w:b/>
        </w:rPr>
        <w:t>ID</w:t>
      </w:r>
      <w:r>
        <w:t xml:space="preserve"> </w:t>
      </w:r>
      <w:r w:rsidR="00474EBD">
        <w:t>147,</w:t>
      </w:r>
      <w:r>
        <w:t xml:space="preserve"> </w:t>
      </w:r>
      <w:r w:rsidR="00B7191C">
        <w:t xml:space="preserve">517, </w:t>
      </w:r>
      <w:r w:rsidR="006D585D">
        <w:t xml:space="preserve">897, </w:t>
      </w:r>
      <w:r w:rsidR="00CF4632">
        <w:t xml:space="preserve">934-941, </w:t>
      </w:r>
      <w:r w:rsidR="00963474">
        <w:t xml:space="preserve">1014, </w:t>
      </w:r>
      <w:r w:rsidR="00B81FBC">
        <w:t xml:space="preserve">1038, </w:t>
      </w:r>
      <w:r w:rsidR="003F1C8F">
        <w:t xml:space="preserve">1145, </w:t>
      </w:r>
      <w:r w:rsidR="00741010">
        <w:t xml:space="preserve">1153-1163, </w:t>
      </w:r>
      <w:r w:rsidR="00FD035E">
        <w:t xml:space="preserve">1165-1169, </w:t>
      </w:r>
      <w:r w:rsidR="00866F6A">
        <w:t xml:space="preserve">1500, </w:t>
      </w:r>
      <w:r w:rsidR="00B120E1">
        <w:t xml:space="preserve">1511, </w:t>
      </w:r>
      <w:r w:rsidR="00186FA7">
        <w:t xml:space="preserve">1520, </w:t>
      </w:r>
      <w:r w:rsidR="009453EA">
        <w:t>1601-</w:t>
      </w:r>
      <w:r w:rsidR="00755A02">
        <w:t>160</w:t>
      </w:r>
      <w:r w:rsidR="009453EA">
        <w:t xml:space="preserve">2, </w:t>
      </w:r>
      <w:r w:rsidR="00755A02">
        <w:t>1699-1701</w:t>
      </w:r>
      <w:r w:rsidR="00880D84">
        <w:t xml:space="preserve">, 1703 and 1705. </w:t>
      </w:r>
    </w:p>
  </w:footnote>
  <w:footnote w:id="23">
    <w:p w:rsidR="003B7F53" w:rsidRPr="00B4763C" w:rsidRDefault="003B7F53" w:rsidP="003B7F53">
      <w:pPr>
        <w:pStyle w:val="FootnoteText"/>
      </w:pPr>
      <w:r>
        <w:rPr>
          <w:rStyle w:val="FootnoteReference"/>
        </w:rPr>
        <w:footnoteRef/>
      </w:r>
      <w:r>
        <w:t xml:space="preserve"> </w:t>
      </w:r>
      <w:r w:rsidR="00B4763C">
        <w:rPr>
          <w:b/>
        </w:rPr>
        <w:t>ID</w:t>
      </w:r>
      <w:r w:rsidR="002C4F3F">
        <w:t xml:space="preserve"> 517-518, 521-523, 693-695, 706, 713, 980, 982, 1075-1076, 1083, 1122-1123, 1125, 1217, 1219, and 1634-1635.</w:t>
      </w:r>
    </w:p>
  </w:footnote>
  <w:footnote w:id="24">
    <w:p w:rsidR="00DC5951" w:rsidRDefault="00DC5951" w:rsidP="00DC5951">
      <w:pPr>
        <w:pStyle w:val="FootnoteText"/>
      </w:pPr>
      <w:r>
        <w:rPr>
          <w:rStyle w:val="FootnoteReference"/>
        </w:rPr>
        <w:footnoteRef/>
      </w:r>
      <w:r>
        <w:t xml:space="preserve"> </w:t>
      </w:r>
      <w:r>
        <w:rPr>
          <w:b/>
        </w:rPr>
        <w:t xml:space="preserve">ID </w:t>
      </w:r>
      <w:r>
        <w:t>66-71, 79-84, 544-552, 636-637, 639-671, 706-713, 715-719, 1306-1310, 1342-1344, 1363, 1367, 1528, 1737-1739, 1742-1747, and 1761.</w:t>
      </w:r>
    </w:p>
  </w:footnote>
  <w:footnote w:id="25">
    <w:p w:rsidR="00100DCE" w:rsidRPr="00BF28DA" w:rsidRDefault="00100DCE" w:rsidP="005C7646">
      <w:pPr>
        <w:pStyle w:val="FootnoteText"/>
      </w:pPr>
      <w:r w:rsidRPr="006C20CA">
        <w:rPr>
          <w:rStyle w:val="FootnoteReference"/>
        </w:rPr>
        <w:footnoteRef/>
      </w:r>
      <w:r w:rsidRPr="006C20CA">
        <w:t xml:space="preserve"> TNA HCA 13/120, answer of Thomas Spencer, 21 November</w:t>
      </w:r>
      <w:r w:rsidR="00954814">
        <w:t xml:space="preserve"> 1647; HCA 24/108,113, 132, 160;</w:t>
      </w:r>
      <w:r w:rsidR="00BF28DA">
        <w:t xml:space="preserve"> </w:t>
      </w:r>
      <w:r w:rsidR="00BF28DA">
        <w:rPr>
          <w:b/>
        </w:rPr>
        <w:t xml:space="preserve">Vge no </w:t>
      </w:r>
      <w:r w:rsidR="00BF28DA">
        <w:t>26.</w:t>
      </w:r>
    </w:p>
  </w:footnote>
  <w:footnote w:id="26">
    <w:p w:rsidR="00100DCE" w:rsidRDefault="00100DCE">
      <w:pPr>
        <w:pStyle w:val="FootnoteText"/>
      </w:pPr>
      <w:r>
        <w:rPr>
          <w:rStyle w:val="FootnoteReference"/>
        </w:rPr>
        <w:footnoteRef/>
      </w:r>
      <w:r>
        <w:t xml:space="preserve"> Throughout the seventeenth century there were s</w:t>
      </w:r>
      <w:r w:rsidR="00330BE0">
        <w:t>everal apparently unsuccessful</w:t>
      </w:r>
      <w:r>
        <w:t xml:space="preserve"> attempts by both seafarers and the English government to make written contracts mandatory: Blakemore, ‘Legal world’, pp. 105, 119.</w:t>
      </w:r>
    </w:p>
  </w:footnote>
  <w:footnote w:id="27">
    <w:p w:rsidR="00100DCE" w:rsidRDefault="00100DCE">
      <w:pPr>
        <w:pStyle w:val="FootnoteText"/>
      </w:pPr>
      <w:r>
        <w:rPr>
          <w:rStyle w:val="FootnoteReference"/>
        </w:rPr>
        <w:footnoteRef/>
      </w:r>
      <w:r>
        <w:t xml:space="preserve"> ‘Operational rank’ is used here to mean the position an individual seafarer held aboard a specific ship, and should be distinguished from their social or economic</w:t>
      </w:r>
      <w:r w:rsidR="003E46BA">
        <w:t xml:space="preserve"> rank, though </w:t>
      </w:r>
      <w:r>
        <w:t>these different kinds of status would reflect and influence one another.</w:t>
      </w:r>
    </w:p>
  </w:footnote>
  <w:footnote w:id="28">
    <w:p w:rsidR="00E51B91" w:rsidRPr="00E51B91" w:rsidRDefault="00E51B91">
      <w:pPr>
        <w:pStyle w:val="FootnoteText"/>
      </w:pPr>
      <w:r>
        <w:rPr>
          <w:rStyle w:val="FootnoteReference"/>
        </w:rPr>
        <w:footnoteRef/>
      </w:r>
      <w:r>
        <w:t xml:space="preserve"> </w:t>
      </w:r>
      <w:proofErr w:type="gramStart"/>
      <w:r>
        <w:rPr>
          <w:b/>
        </w:rPr>
        <w:t xml:space="preserve">ID </w:t>
      </w:r>
      <w:r>
        <w:t>59, 487, 522-524, 530, 1293, 1315, 1349, 1378, 1453, 1467, 1513, 1565, 1584, 1600, 1618, 1647, 1694, 1733, 1762, and 1770.</w:t>
      </w:r>
      <w:proofErr w:type="gramEnd"/>
    </w:p>
  </w:footnote>
  <w:footnote w:id="29">
    <w:p w:rsidR="00100DCE" w:rsidRPr="009A2753" w:rsidRDefault="00100DCE" w:rsidP="001C358E">
      <w:pPr>
        <w:pStyle w:val="FootnoteText"/>
      </w:pPr>
      <w:r w:rsidRPr="006C20CA">
        <w:rPr>
          <w:rStyle w:val="FootnoteReference"/>
        </w:rPr>
        <w:footnoteRef/>
      </w:r>
      <w:r w:rsidRPr="006C20CA">
        <w:t xml:space="preserve"> </w:t>
      </w:r>
      <w:proofErr w:type="gramStart"/>
      <w:r w:rsidRPr="006C20CA">
        <w:t>TNA HCA 24/121/80</w:t>
      </w:r>
      <w:r w:rsidR="00103C1A">
        <w:t>;</w:t>
      </w:r>
      <w:r w:rsidR="008002F2">
        <w:t xml:space="preserve"> </w:t>
      </w:r>
      <w:r w:rsidR="008002F2">
        <w:rPr>
          <w:b/>
        </w:rPr>
        <w:t xml:space="preserve">ID </w:t>
      </w:r>
      <w:r w:rsidR="008002F2">
        <w:t>1425.</w:t>
      </w:r>
      <w:proofErr w:type="gramEnd"/>
      <w:r w:rsidR="009A2753">
        <w:t xml:space="preserve"> The others are </w:t>
      </w:r>
      <w:r w:rsidR="009A2753">
        <w:rPr>
          <w:b/>
        </w:rPr>
        <w:t xml:space="preserve">ID </w:t>
      </w:r>
      <w:r w:rsidR="009A2753">
        <w:t xml:space="preserve">323, 927, 1037, 1221, </w:t>
      </w:r>
      <w:r w:rsidR="002D2BCE">
        <w:t>1229, 1292, 1301, 1382, 1477, and 1787.</w:t>
      </w:r>
    </w:p>
  </w:footnote>
  <w:footnote w:id="30">
    <w:p w:rsidR="00100DCE" w:rsidRDefault="00100DCE">
      <w:pPr>
        <w:pStyle w:val="FootnoteText"/>
      </w:pPr>
      <w:r>
        <w:rPr>
          <w:rStyle w:val="FootnoteReference"/>
        </w:rPr>
        <w:footnoteRef/>
      </w:r>
      <w:r>
        <w:t xml:space="preserve"> The role of shipmasters has drawn considerable attention from historians: W. Senior</w:t>
      </w:r>
      <w:r w:rsidRPr="00D61085">
        <w:t xml:space="preserve">, ‘The master-mariners authority’, </w:t>
      </w:r>
      <w:r w:rsidRPr="00D61085">
        <w:rPr>
          <w:i/>
        </w:rPr>
        <w:t>The Law Quarterly Review</w:t>
      </w:r>
      <w:r w:rsidRPr="00D61085">
        <w:t>, 136 (1918)</w:t>
      </w:r>
      <w:r>
        <w:t>, pp. 347-56</w:t>
      </w:r>
      <w:r w:rsidRPr="00D61085">
        <w:t xml:space="preserve">; Davis, </w:t>
      </w:r>
      <w:r w:rsidRPr="00D61085">
        <w:rPr>
          <w:i/>
        </w:rPr>
        <w:t>English shipping industry</w:t>
      </w:r>
      <w:r w:rsidRPr="00D61085">
        <w:t xml:space="preserve">, pp. 126-32 and ch. 8; </w:t>
      </w:r>
      <w:r>
        <w:t xml:space="preserve">G. V. Scammell, </w:t>
      </w:r>
      <w:r w:rsidRPr="00D61085">
        <w:t xml:space="preserve">‘Manning the English merchant service in the sixteenth century’, </w:t>
      </w:r>
      <w:r w:rsidRPr="00D61085">
        <w:rPr>
          <w:i/>
        </w:rPr>
        <w:t>Mariner’s Mirror</w:t>
      </w:r>
      <w:r>
        <w:t>, 56 (1970), pp. 131-54</w:t>
      </w:r>
      <w:r w:rsidRPr="00D61085">
        <w:t>,</w:t>
      </w:r>
      <w:r>
        <w:t xml:space="preserve"> at</w:t>
      </w:r>
      <w:r w:rsidRPr="00D61085">
        <w:t xml:space="preserve"> pp. 144-8; </w:t>
      </w:r>
      <w:r>
        <w:t xml:space="preserve">Pauline </w:t>
      </w:r>
      <w:r w:rsidRPr="001438EC">
        <w:t>Croft,</w:t>
      </w:r>
      <w:r>
        <w:t xml:space="preserve"> </w:t>
      </w:r>
      <w:r w:rsidRPr="001438EC">
        <w:t xml:space="preserve">‘English mariners trading to Spain and Portugal, 1558-1625’, </w:t>
      </w:r>
      <w:r w:rsidRPr="001438EC">
        <w:rPr>
          <w:i/>
        </w:rPr>
        <w:t>Mariner’s Mirror</w:t>
      </w:r>
      <w:r>
        <w:t>, 69 (1983), pp. 251-66; G. V.</w:t>
      </w:r>
      <w:r w:rsidRPr="00D61085">
        <w:t xml:space="preserve"> Scammell, </w:t>
      </w:r>
      <w:r w:rsidRPr="001438EC">
        <w:t xml:space="preserve">‘The merchant service master in early modern England’, in G. V. Scammell, </w:t>
      </w:r>
      <w:r w:rsidRPr="001438EC">
        <w:rPr>
          <w:i/>
        </w:rPr>
        <w:t xml:space="preserve">Seafaring, sailors and trade, 1450-1750 </w:t>
      </w:r>
      <w:r>
        <w:t>(Aldershot, 2003), pp. 1-22</w:t>
      </w:r>
      <w:r w:rsidRPr="00D61085">
        <w:t>;</w:t>
      </w:r>
      <w:r>
        <w:t xml:space="preserve"> Robert D. Hicks, </w:t>
      </w:r>
      <w:r>
        <w:rPr>
          <w:i/>
        </w:rPr>
        <w:t xml:space="preserve">Voyage to Jamestown: practical navigation in the age of discovery </w:t>
      </w:r>
      <w:r>
        <w:t>(Annapolis, MD, 2011);</w:t>
      </w:r>
      <w:r w:rsidRPr="00D61085">
        <w:t xml:space="preserve"> </w:t>
      </w:r>
      <w:r>
        <w:t xml:space="preserve">Richard J. Blakemore, </w:t>
      </w:r>
      <w:r w:rsidRPr="00D51C4E">
        <w:t xml:space="preserve">‘Navigating culture: navigational instruments as cultural artefacts’, </w:t>
      </w:r>
      <w:r w:rsidRPr="00D51C4E">
        <w:rPr>
          <w:i/>
        </w:rPr>
        <w:t>Journal for Maritime Research</w:t>
      </w:r>
      <w:r w:rsidRPr="00D51C4E">
        <w:t>, 14 (2012), pp. 31-44</w:t>
      </w:r>
      <w:r>
        <w:t xml:space="preserve">; Richard J. Blakemore, ‘Orality and mutiny: authority and speech amongst the seafarers of early modern London’, in Tom Cohen and Lesley Twomey, eds, </w:t>
      </w:r>
      <w:r>
        <w:rPr>
          <w:i/>
        </w:rPr>
        <w:t xml:space="preserve">Spoken word and social practice: orality in Europe (1400-1700) </w:t>
      </w:r>
      <w:r>
        <w:t>(Leiden, 2015), pp. 253-79.</w:t>
      </w:r>
    </w:p>
  </w:footnote>
  <w:footnote w:id="31">
    <w:p w:rsidR="00C430B8" w:rsidRDefault="00C430B8" w:rsidP="00C430B8">
      <w:pPr>
        <w:pStyle w:val="FootnoteText"/>
      </w:pPr>
      <w:r>
        <w:rPr>
          <w:rStyle w:val="FootnoteReference"/>
        </w:rPr>
        <w:footnoteRef/>
      </w:r>
      <w:r>
        <w:t xml:space="preserve"> This term was originally used by </w:t>
      </w:r>
      <w:r w:rsidRPr="00DB0184">
        <w:t xml:space="preserve">Davis, </w:t>
      </w:r>
      <w:r w:rsidRPr="00DB0184">
        <w:rPr>
          <w:i/>
        </w:rPr>
        <w:t>English shipping industry</w:t>
      </w:r>
      <w:r w:rsidRPr="00DB0184">
        <w:t>, pp. 110-21</w:t>
      </w:r>
      <w:r>
        <w:t>.</w:t>
      </w:r>
    </w:p>
  </w:footnote>
  <w:footnote w:id="32">
    <w:p w:rsidR="00C430B8" w:rsidRDefault="00C430B8" w:rsidP="00C430B8">
      <w:pPr>
        <w:pStyle w:val="FootnoteText"/>
      </w:pPr>
      <w:r>
        <w:rPr>
          <w:rStyle w:val="FootnoteReference"/>
        </w:rPr>
        <w:footnoteRef/>
      </w:r>
      <w:r>
        <w:t xml:space="preserve"> A comparative table of roles aboard early modern merchant ships, with Italian, Dutch, English, and French terms can be found at the project’s resources webpage: </w:t>
      </w:r>
      <w:hyperlink r:id="rId4" w:history="1">
        <w:r w:rsidRPr="00827709">
          <w:rPr>
            <w:rStyle w:val="Hyperlink"/>
          </w:rPr>
          <w:t>http://humanities.exeter.ac.uk/media/universityofexeter/collegeofhumanities/history/researchcentres/centreformaritimehistoricalstudies/pdfs/RolesOnBoard.pdf</w:t>
        </w:r>
      </w:hyperlink>
      <w:r>
        <w:t xml:space="preserve">. </w:t>
      </w:r>
    </w:p>
  </w:footnote>
  <w:footnote w:id="33">
    <w:p w:rsidR="00C430B8" w:rsidRPr="00AE4E71" w:rsidRDefault="00C430B8" w:rsidP="00C430B8">
      <w:pPr>
        <w:pStyle w:val="FootnoteText"/>
      </w:pPr>
      <w:r>
        <w:rPr>
          <w:rStyle w:val="FootnoteReference"/>
        </w:rPr>
        <w:footnoteRef/>
      </w:r>
      <w:r>
        <w:t xml:space="preserve"> </w:t>
      </w:r>
      <w:r>
        <w:rPr>
          <w:b/>
        </w:rPr>
        <w:t>ID</w:t>
      </w:r>
      <w:r>
        <w:t xml:space="preserve"> 59, 373, 382-384, 517, 530, 644, 648, 650, 664, 673, 943, 953, 958, 966, 983, 1022, 1024, 1039, 1063, 1066, 1100, 1179, 1182, 1303, 1336, 1397, 1427, 1443-1444, 1446, 1496, 1531, 1717, 1730, 1778, 1782.</w:t>
      </w:r>
    </w:p>
  </w:footnote>
  <w:footnote w:id="34">
    <w:p w:rsidR="009071C6" w:rsidRDefault="009071C6" w:rsidP="009071C6">
      <w:pPr>
        <w:pStyle w:val="FootnoteText"/>
      </w:pPr>
      <w:r>
        <w:rPr>
          <w:rStyle w:val="FootnoteReference"/>
        </w:rPr>
        <w:footnoteRef/>
      </w:r>
      <w:r>
        <w:t xml:space="preserve"> TNA HCA SP 16/135, </w:t>
      </w:r>
      <w:proofErr w:type="gramStart"/>
      <w:r>
        <w:t>fos</w:t>
      </w:r>
      <w:proofErr w:type="gramEnd"/>
      <w:r>
        <w:t xml:space="preserve"> 111r-27v.</w:t>
      </w:r>
    </w:p>
  </w:footnote>
  <w:footnote w:id="35">
    <w:p w:rsidR="00100DCE" w:rsidRPr="00515547" w:rsidRDefault="00100DCE">
      <w:pPr>
        <w:pStyle w:val="FootnoteText"/>
      </w:pPr>
      <w:r>
        <w:rPr>
          <w:rStyle w:val="FootnoteReference"/>
        </w:rPr>
        <w:footnoteRef/>
      </w:r>
      <w:r>
        <w:t xml:space="preserve"> For statistical analysis of witness depositions, see Vincent V. Patarino, ‘The religious shipboard culture of sixteenth and seventeenth-century English sailors’, in Cheryl A. Fury, ed., </w:t>
      </w:r>
      <w:r>
        <w:rPr>
          <w:i/>
        </w:rPr>
        <w:t xml:space="preserve">The social history of English seamen, 1485-1649 </w:t>
      </w:r>
      <w:r>
        <w:t>(Woodbridge, 2012), pp. 141-92, at pp. 176-81; Richard J. Blakemore, ‘The London &amp; Thames maritime community during the B</w:t>
      </w:r>
      <w:r w:rsidR="001B1930">
        <w:t>ritish civil wars, 1640-1649’ (u</w:t>
      </w:r>
      <w:r>
        <w:t>npublished Ph.D. thesis, Cambridge, 2013), pp. 34-43, 69-72.</w:t>
      </w:r>
    </w:p>
  </w:footnote>
  <w:footnote w:id="36">
    <w:p w:rsidR="006944B4" w:rsidRPr="006944B4" w:rsidRDefault="006944B4">
      <w:pPr>
        <w:pStyle w:val="FootnoteText"/>
      </w:pPr>
      <w:r>
        <w:rPr>
          <w:rStyle w:val="FootnoteReference"/>
        </w:rPr>
        <w:footnoteRef/>
      </w:r>
      <w:r>
        <w:t xml:space="preserve"> The </w:t>
      </w:r>
      <w:r w:rsidR="007C335D">
        <w:t>9</w:t>
      </w:r>
      <w:r>
        <w:t xml:space="preserve"> boys are </w:t>
      </w:r>
      <w:r>
        <w:rPr>
          <w:b/>
        </w:rPr>
        <w:t xml:space="preserve">ID </w:t>
      </w:r>
      <w:r>
        <w:t xml:space="preserve">671, 916, 1379, 1162-1163, 1300, </w:t>
      </w:r>
      <w:r w:rsidR="007C335D">
        <w:t xml:space="preserve">1654, </w:t>
      </w:r>
      <w:r>
        <w:t>1668, and 1676.</w:t>
      </w:r>
    </w:p>
  </w:footnote>
  <w:footnote w:id="37">
    <w:p w:rsidR="001D17CA" w:rsidRDefault="001D17CA" w:rsidP="001D17CA">
      <w:pPr>
        <w:pStyle w:val="FootnoteText"/>
      </w:pPr>
      <w:r>
        <w:rPr>
          <w:rStyle w:val="FootnoteReference"/>
        </w:rPr>
        <w:footnoteRef/>
      </w:r>
      <w:r>
        <w:t xml:space="preserve"> For a discussion of contemporary terms and stereotyping of seafarers, see Blakemore, ‘London &amp; Thames maritime community’, pp. 25-33; Blakemore, ‘Orality and mutiny’, pp. 255-9. </w:t>
      </w:r>
    </w:p>
  </w:footnote>
  <w:footnote w:id="38">
    <w:p w:rsidR="00100DCE" w:rsidRPr="00825A96" w:rsidRDefault="00100DCE" w:rsidP="003B396A">
      <w:pPr>
        <w:pStyle w:val="FootnoteText"/>
      </w:pPr>
      <w:r w:rsidRPr="006C20CA">
        <w:rPr>
          <w:rStyle w:val="FootnoteReference"/>
        </w:rPr>
        <w:footnoteRef/>
      </w:r>
      <w:r w:rsidR="00F251FF">
        <w:t xml:space="preserve"> </w:t>
      </w:r>
      <w:r w:rsidR="006F655A">
        <w:t xml:space="preserve">For example </w:t>
      </w:r>
      <w:r w:rsidR="00F251FF">
        <w:t>Samuel Fry (</w:t>
      </w:r>
      <w:r w:rsidR="00F251FF">
        <w:rPr>
          <w:b/>
        </w:rPr>
        <w:t>ID</w:t>
      </w:r>
      <w:r w:rsidR="00F251FF">
        <w:t xml:space="preserve"> 942) was a surgeon, and servant to</w:t>
      </w:r>
      <w:r w:rsidR="0028752C">
        <w:t xml:space="preserve"> one Edmund Higgs, while Timothy Cary (</w:t>
      </w:r>
      <w:r w:rsidR="0028752C">
        <w:rPr>
          <w:b/>
        </w:rPr>
        <w:t xml:space="preserve">ID </w:t>
      </w:r>
      <w:r w:rsidR="0028752C">
        <w:t>1292) was a cook and ‘able seaman’, and servant to Thomas Smith, master of his ship; both have been categorised as specialists</w:t>
      </w:r>
      <w:r w:rsidR="00357B7F">
        <w:t>.</w:t>
      </w:r>
      <w:r w:rsidR="00F251FF">
        <w:t xml:space="preserve"> </w:t>
      </w:r>
      <w:r>
        <w:t xml:space="preserve">On maritime apprenticeships see </w:t>
      </w:r>
      <w:r w:rsidRPr="006A73FE">
        <w:t>John</w:t>
      </w:r>
      <w:r>
        <w:t xml:space="preserve"> Webb</w:t>
      </w:r>
      <w:r w:rsidRPr="006A73FE">
        <w:t xml:space="preserve">, ‘Apprenticeship in the maritime occupations at Ipswich, 1596-1651’, </w:t>
      </w:r>
      <w:r w:rsidRPr="006A73FE">
        <w:rPr>
          <w:i/>
        </w:rPr>
        <w:t>Mariner’s Mirror</w:t>
      </w:r>
      <w:r w:rsidRPr="006A73FE">
        <w:t xml:space="preserve">, 46 (1960), </w:t>
      </w:r>
      <w:r>
        <w:t xml:space="preserve">pp. </w:t>
      </w:r>
      <w:r w:rsidRPr="006A73FE">
        <w:t>29-34</w:t>
      </w:r>
      <w:r>
        <w:t>; Cheryl A. Fury,</w:t>
      </w:r>
      <w:r w:rsidRPr="00825A96">
        <w:t xml:space="preserve"> ‘Training and education in the Elizabethan maritime community, 1585-1603’, </w:t>
      </w:r>
      <w:r w:rsidRPr="00825A96">
        <w:rPr>
          <w:i/>
        </w:rPr>
        <w:t>Mariner’s Mirror</w:t>
      </w:r>
      <w:r w:rsidRPr="00825A96">
        <w:t xml:space="preserve">, 85 (1999), </w:t>
      </w:r>
      <w:r>
        <w:t>pp. 147-61; Blakemore, ‘Navigating culture’, p. 37.</w:t>
      </w:r>
    </w:p>
  </w:footnote>
  <w:footnote w:id="39">
    <w:p w:rsidR="00726B3E" w:rsidRPr="00726B3E" w:rsidRDefault="00726B3E">
      <w:pPr>
        <w:pStyle w:val="FootnoteText"/>
      </w:pPr>
      <w:r>
        <w:rPr>
          <w:rStyle w:val="FootnoteReference"/>
        </w:rPr>
        <w:footnoteRef/>
      </w:r>
      <w:r>
        <w:t xml:space="preserve"> </w:t>
      </w:r>
      <w:r>
        <w:rPr>
          <w:b/>
        </w:rPr>
        <w:t xml:space="preserve">ID </w:t>
      </w:r>
      <w:r>
        <w:t>54, 370, 981, 129</w:t>
      </w:r>
      <w:r w:rsidR="0028752C">
        <w:t>1</w:t>
      </w:r>
      <w:r>
        <w:t>, 1366, 1583, and 1764.</w:t>
      </w:r>
    </w:p>
  </w:footnote>
  <w:footnote w:id="40">
    <w:p w:rsidR="00100DCE" w:rsidRDefault="00100DCE">
      <w:pPr>
        <w:pStyle w:val="FootnoteText"/>
      </w:pPr>
      <w:r>
        <w:rPr>
          <w:rStyle w:val="FootnoteReference"/>
        </w:rPr>
        <w:footnoteRef/>
      </w:r>
      <w:r w:rsidR="00C20083">
        <w:t xml:space="preserve"> Besides those listed in n. 37, these are</w:t>
      </w:r>
      <w:r>
        <w:t xml:space="preserve"> </w:t>
      </w:r>
      <w:r w:rsidR="00246EA7">
        <w:rPr>
          <w:b/>
        </w:rPr>
        <w:t xml:space="preserve">ID </w:t>
      </w:r>
      <w:r w:rsidR="00CC3F56">
        <w:t xml:space="preserve">52, </w:t>
      </w:r>
      <w:r w:rsidR="00DA4E57">
        <w:t>328,</w:t>
      </w:r>
      <w:r w:rsidR="00CC3F56">
        <w:t xml:space="preserve"> 363, 366, 368, 403,</w:t>
      </w:r>
      <w:r w:rsidR="00246EA7">
        <w:t xml:space="preserve"> 1038, 1289-1290, 1326, </w:t>
      </w:r>
      <w:r w:rsidR="0078763E">
        <w:t xml:space="preserve">1468, </w:t>
      </w:r>
      <w:r w:rsidR="00246EA7">
        <w:t xml:space="preserve">1478, </w:t>
      </w:r>
      <w:r w:rsidR="0041748E">
        <w:t xml:space="preserve">1496, </w:t>
      </w:r>
      <w:r w:rsidR="00480361">
        <w:t xml:space="preserve">1583, and </w:t>
      </w:r>
      <w:r w:rsidR="00246EA7">
        <w:t xml:space="preserve">1765. </w:t>
      </w:r>
      <w:r>
        <w:t>This does not include the 11 seafarers who were paid for themselves and the</w:t>
      </w:r>
      <w:r w:rsidR="00884369">
        <w:t>ir servants mentioned above, p. 5</w:t>
      </w:r>
      <w:r w:rsidR="00CB416B">
        <w:t xml:space="preserve"> n. 20</w:t>
      </w:r>
      <w:r>
        <w:t xml:space="preserve">, where the servants and their wages were not recorded separately. </w:t>
      </w:r>
    </w:p>
  </w:footnote>
  <w:footnote w:id="41">
    <w:p w:rsidR="00456AF0" w:rsidRPr="00FF5943" w:rsidRDefault="00456AF0">
      <w:pPr>
        <w:pStyle w:val="FootnoteText"/>
      </w:pPr>
      <w:r>
        <w:rPr>
          <w:rStyle w:val="FootnoteReference"/>
        </w:rPr>
        <w:footnoteRef/>
      </w:r>
      <w:r>
        <w:t xml:space="preserve"> </w:t>
      </w:r>
      <w:r>
        <w:rPr>
          <w:b/>
        </w:rPr>
        <w:t>Vge no</w:t>
      </w:r>
      <w:r w:rsidR="00D27419">
        <w:rPr>
          <w:b/>
        </w:rPr>
        <w:t xml:space="preserve"> </w:t>
      </w:r>
      <w:r w:rsidR="00D27419">
        <w:t xml:space="preserve">11, 12, </w:t>
      </w:r>
      <w:r w:rsidR="00AA18DF">
        <w:t>36</w:t>
      </w:r>
      <w:r w:rsidR="00D27419">
        <w:t xml:space="preserve">, 47, 51, 67, 73, 91, 96, 106, </w:t>
      </w:r>
      <w:r w:rsidR="008E7EE0">
        <w:t>120,</w:t>
      </w:r>
      <w:r w:rsidR="00D27419">
        <w:t xml:space="preserve"> 141, 145, 153, </w:t>
      </w:r>
      <w:r w:rsidR="000D22F3">
        <w:t xml:space="preserve">and </w:t>
      </w:r>
      <w:r w:rsidR="00D27419">
        <w:t xml:space="preserve">234, encompassing </w:t>
      </w:r>
      <w:r w:rsidR="00D27419">
        <w:rPr>
          <w:b/>
        </w:rPr>
        <w:t xml:space="preserve">ID </w:t>
      </w:r>
      <w:r w:rsidR="008C50EA">
        <w:t xml:space="preserve">907-908, </w:t>
      </w:r>
      <w:r w:rsidR="00FF5943">
        <w:t>934-941</w:t>
      </w:r>
      <w:r w:rsidR="00E859D6">
        <w:t xml:space="preserve">, </w:t>
      </w:r>
      <w:r w:rsidR="003D4839">
        <w:t>1046-1047,</w:t>
      </w:r>
      <w:r w:rsidR="0008091C">
        <w:t xml:space="preserve"> 1072-1073,</w:t>
      </w:r>
      <w:r w:rsidR="003D4839">
        <w:t xml:space="preserve"> </w:t>
      </w:r>
      <w:r w:rsidR="00727A7E">
        <w:t xml:space="preserve">1126, </w:t>
      </w:r>
      <w:r w:rsidR="00315552">
        <w:t>1217-1219,</w:t>
      </w:r>
      <w:r w:rsidR="00392943">
        <w:t xml:space="preserve"> 1287,</w:t>
      </w:r>
      <w:r w:rsidR="001A2BEE">
        <w:t xml:space="preserve"> 1296-1298,</w:t>
      </w:r>
      <w:r w:rsidR="008A2A30">
        <w:t xml:space="preserve"> 1327-1334,</w:t>
      </w:r>
      <w:r w:rsidR="008E0721">
        <w:t xml:space="preserve"> and</w:t>
      </w:r>
      <w:r w:rsidR="00315552">
        <w:t xml:space="preserve"> </w:t>
      </w:r>
      <w:r w:rsidR="00E859D6">
        <w:t>1801</w:t>
      </w:r>
      <w:r w:rsidR="008E0721">
        <w:t>.</w:t>
      </w:r>
    </w:p>
  </w:footnote>
  <w:footnote w:id="42">
    <w:p w:rsidR="00D27419" w:rsidRPr="00D27419" w:rsidRDefault="00D27419">
      <w:pPr>
        <w:pStyle w:val="FootnoteText"/>
      </w:pPr>
      <w:r>
        <w:rPr>
          <w:rStyle w:val="FootnoteReference"/>
        </w:rPr>
        <w:footnoteRef/>
      </w:r>
      <w:r>
        <w:t xml:space="preserve"> </w:t>
      </w:r>
      <w:r w:rsidR="00962E56">
        <w:t xml:space="preserve">Excluding those listed in n. 39, these are </w:t>
      </w:r>
      <w:r>
        <w:rPr>
          <w:b/>
        </w:rPr>
        <w:t xml:space="preserve">Vge no </w:t>
      </w:r>
      <w:r w:rsidR="00A225B2">
        <w:t>12,</w:t>
      </w:r>
      <w:r w:rsidR="00F56489">
        <w:t xml:space="preserve"> 21,</w:t>
      </w:r>
      <w:r w:rsidR="00A225B2">
        <w:t xml:space="preserve"> </w:t>
      </w:r>
      <w:r w:rsidR="00AE4570">
        <w:t>36-</w:t>
      </w:r>
      <w:r w:rsidR="00FF5943">
        <w:t xml:space="preserve">38, </w:t>
      </w:r>
      <w:r>
        <w:t>47,</w:t>
      </w:r>
      <w:r w:rsidR="008E0721">
        <w:t xml:space="preserve"> and</w:t>
      </w:r>
      <w:r w:rsidR="00FF5943">
        <w:t xml:space="preserve"> 51,</w:t>
      </w:r>
      <w:r>
        <w:t xml:space="preserve"> encompassing </w:t>
      </w:r>
      <w:r>
        <w:rPr>
          <w:b/>
        </w:rPr>
        <w:t>ID</w:t>
      </w:r>
      <w:r w:rsidR="00A225B2">
        <w:rPr>
          <w:b/>
        </w:rPr>
        <w:t xml:space="preserve"> </w:t>
      </w:r>
      <w:r w:rsidR="00F56489">
        <w:t>110</w:t>
      </w:r>
      <w:r w:rsidR="00A225B2">
        <w:t xml:space="preserve">-122, </w:t>
      </w:r>
      <w:r w:rsidR="00FF5943">
        <w:t>52</w:t>
      </w:r>
      <w:r w:rsidR="00485B4C">
        <w:t>1</w:t>
      </w:r>
      <w:r w:rsidR="00FF5943">
        <w:t xml:space="preserve">-526, </w:t>
      </w:r>
      <w:r w:rsidR="00283E77">
        <w:t>674,</w:t>
      </w:r>
      <w:r w:rsidR="008E0721">
        <w:t xml:space="preserve"> and</w:t>
      </w:r>
      <w:r w:rsidR="00283E77">
        <w:t xml:space="preserve"> </w:t>
      </w:r>
      <w:r w:rsidR="00FF5943">
        <w:t>692</w:t>
      </w:r>
      <w:r w:rsidR="008E0721">
        <w:t>.</w:t>
      </w:r>
    </w:p>
  </w:footnote>
  <w:footnote w:id="43">
    <w:p w:rsidR="00982CD2" w:rsidRPr="00305A00" w:rsidRDefault="00982CD2">
      <w:pPr>
        <w:pStyle w:val="FootnoteText"/>
      </w:pPr>
      <w:r>
        <w:rPr>
          <w:rStyle w:val="FootnoteReference"/>
        </w:rPr>
        <w:footnoteRef/>
      </w:r>
      <w:r>
        <w:t xml:space="preserve"> </w:t>
      </w:r>
      <w:proofErr w:type="gramStart"/>
      <w:r>
        <w:rPr>
          <w:b/>
        </w:rPr>
        <w:t xml:space="preserve">Vge no </w:t>
      </w:r>
      <w:r>
        <w:t>8 and 16</w:t>
      </w:r>
      <w:r w:rsidR="00305A00">
        <w:t xml:space="preserve">, encompassing </w:t>
      </w:r>
      <w:r w:rsidR="00305A00">
        <w:rPr>
          <w:b/>
        </w:rPr>
        <w:t xml:space="preserve">ID </w:t>
      </w:r>
      <w:r w:rsidR="00305A00">
        <w:t>51-84 and 146-253.</w:t>
      </w:r>
      <w:proofErr w:type="gramEnd"/>
    </w:p>
  </w:footnote>
  <w:footnote w:id="44">
    <w:p w:rsidR="00B90C47" w:rsidRDefault="00B90C47">
      <w:pPr>
        <w:pStyle w:val="FootnoteText"/>
      </w:pPr>
      <w:r>
        <w:rPr>
          <w:rStyle w:val="FootnoteReference"/>
        </w:rPr>
        <w:footnoteRef/>
      </w:r>
      <w:r>
        <w:t xml:space="preserve"> On currency exchange in this period see John J. </w:t>
      </w:r>
      <w:r w:rsidRPr="00B90C47">
        <w:t xml:space="preserve">McCusker, </w:t>
      </w:r>
      <w:r w:rsidRPr="00B90C47">
        <w:rPr>
          <w:i/>
        </w:rPr>
        <w:t xml:space="preserve">Money and exchange in Europe and America: a handbook </w:t>
      </w:r>
      <w:r w:rsidRPr="00B90C47">
        <w:t>(London, 1978)</w:t>
      </w:r>
      <w:r>
        <w:t>; M</w:t>
      </w:r>
      <w:r w:rsidR="00497E94">
        <w:t>ark</w:t>
      </w:r>
      <w:r>
        <w:t xml:space="preserve">us A. </w:t>
      </w:r>
      <w:r w:rsidRPr="00B90C47">
        <w:t>Denzel,</w:t>
      </w:r>
      <w:r>
        <w:t xml:space="preserve"> </w:t>
      </w:r>
      <w:r w:rsidRPr="00B90C47">
        <w:rPr>
          <w:i/>
        </w:rPr>
        <w:t xml:space="preserve">Handbook of world exchange rates, 1590-1914 </w:t>
      </w:r>
      <w:r w:rsidRPr="00B90C47">
        <w:t>(Farnham, 2010).</w:t>
      </w:r>
    </w:p>
  </w:footnote>
  <w:footnote w:id="45">
    <w:p w:rsidR="00833774" w:rsidRDefault="00833774">
      <w:pPr>
        <w:pStyle w:val="FootnoteText"/>
      </w:pPr>
      <w:r>
        <w:rPr>
          <w:rStyle w:val="FootnoteReference"/>
        </w:rPr>
        <w:footnoteRef/>
      </w:r>
      <w:r w:rsidR="00D60BAE">
        <w:t xml:space="preserve"> </w:t>
      </w:r>
      <w:proofErr w:type="gramStart"/>
      <w:r>
        <w:t>TNA HCA 13/62, deposition of Thomas Williams, 1 November 1647; HCA 13/71, deposition of John Wood, 26 August 1654.</w:t>
      </w:r>
      <w:proofErr w:type="gramEnd"/>
    </w:p>
  </w:footnote>
  <w:footnote w:id="46">
    <w:p w:rsidR="00392C8A" w:rsidRPr="00E63856" w:rsidRDefault="00392C8A">
      <w:pPr>
        <w:pStyle w:val="FootnoteText"/>
      </w:pPr>
      <w:r>
        <w:rPr>
          <w:rStyle w:val="FootnoteReference"/>
        </w:rPr>
        <w:footnoteRef/>
      </w:r>
      <w:r>
        <w:t xml:space="preserve"> </w:t>
      </w:r>
      <w:proofErr w:type="gramStart"/>
      <w:r>
        <w:rPr>
          <w:b/>
        </w:rPr>
        <w:t xml:space="preserve">Vge no </w:t>
      </w:r>
      <w:r>
        <w:t xml:space="preserve">73, 109, and 111, encompassing </w:t>
      </w:r>
      <w:r>
        <w:rPr>
          <w:b/>
        </w:rPr>
        <w:t xml:space="preserve">ID </w:t>
      </w:r>
      <w:r w:rsidR="00E63856">
        <w:t xml:space="preserve">934-941, </w:t>
      </w:r>
      <w:r w:rsidR="006E1CB8">
        <w:t xml:space="preserve">1153-1163, and </w:t>
      </w:r>
      <w:r w:rsidR="005F7F0B">
        <w:t>1165-1169.</w:t>
      </w:r>
      <w:proofErr w:type="gramEnd"/>
    </w:p>
  </w:footnote>
  <w:footnote w:id="47">
    <w:p w:rsidR="00AE2B65" w:rsidRDefault="00AE2B65">
      <w:pPr>
        <w:pStyle w:val="FootnoteText"/>
      </w:pPr>
      <w:r>
        <w:rPr>
          <w:rStyle w:val="FootnoteReference"/>
        </w:rPr>
        <w:footnoteRef/>
      </w:r>
      <w:r>
        <w:t xml:space="preserve"> </w:t>
      </w:r>
      <w:proofErr w:type="gramStart"/>
      <w:r>
        <w:t>TNA</w:t>
      </w:r>
      <w:r w:rsidR="00656B6D">
        <w:t xml:space="preserve"> HCA 13/61, deposition of Hercules Arentson, 19 May 1649;</w:t>
      </w:r>
      <w:r>
        <w:t xml:space="preserve"> HCA 24/</w:t>
      </w:r>
      <w:r w:rsidR="00656B6D">
        <w:t>108/328.</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DCE" w:rsidRDefault="00100DCE">
    <w:pPr>
      <w:pStyle w:val="Header"/>
    </w:pPr>
    <w:r>
      <w:t>The HCA Wage Dataset: A Descriptive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DCE" w:rsidRDefault="00100DCE" w:rsidP="00CC0C64">
    <w:pPr>
      <w:pStyle w:val="Header"/>
      <w:rPr>
        <w:i/>
      </w:rPr>
    </w:pPr>
  </w:p>
  <w:p w:rsidR="00100DCE" w:rsidRPr="00CC0C64" w:rsidRDefault="00100DCE" w:rsidP="00CC0C64">
    <w:pPr>
      <w:pStyle w:val="Header"/>
    </w:pPr>
    <w:r w:rsidRPr="00CC0C64">
      <w:rPr>
        <w:noProof/>
        <w:lang w:eastAsia="en-GB"/>
      </w:rPr>
      <w:drawing>
        <wp:anchor distT="0" distB="0" distL="114300" distR="114300" simplePos="0" relativeHeight="251661312" behindDoc="1" locked="0" layoutInCell="1" allowOverlap="1" wp14:anchorId="084AFAAD" wp14:editId="3F7F74B9">
          <wp:simplePos x="0" y="0"/>
          <wp:positionH relativeFrom="margin">
            <wp:posOffset>-635</wp:posOffset>
          </wp:positionH>
          <wp:positionV relativeFrom="margin">
            <wp:posOffset>-919894</wp:posOffset>
          </wp:positionV>
          <wp:extent cx="944245" cy="882015"/>
          <wp:effectExtent l="0" t="0" r="8255" b="0"/>
          <wp:wrapSquare wrapText="bothSides"/>
          <wp:docPr id="3" name="Picture 1" descr="http://erc.europa.eu/sites/default/files/content/LOGO-E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erc.europa.eu/sites/default/files/content/LOGO-ER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4245" cy="882015"/>
                  </a:xfrm>
                  <a:prstGeom prst="rect">
                    <a:avLst/>
                  </a:prstGeom>
                  <a:noFill/>
                  <a:extLst/>
                </pic:spPr>
              </pic:pic>
            </a:graphicData>
          </a:graphic>
          <wp14:sizeRelH relativeFrom="margin">
            <wp14:pctWidth>0</wp14:pctWidth>
          </wp14:sizeRelH>
          <wp14:sizeRelV relativeFrom="margin">
            <wp14:pctHeight>0</wp14:pctHeight>
          </wp14:sizeRelV>
        </wp:anchor>
      </w:drawing>
    </w:r>
    <w:r w:rsidRPr="00CC0C64">
      <w:rPr>
        <w:i/>
      </w:rPr>
      <w:t>Sailing into Modernity: Comparative Perspectives on the Sixteenth and Seventeenth Century European Economic Transition</w:t>
    </w:r>
  </w:p>
  <w:p w:rsidR="00100DCE" w:rsidRDefault="00100DCE" w:rsidP="00CC0C64">
    <w:pPr>
      <w:pStyle w:val="Header"/>
    </w:pPr>
    <w:r w:rsidRPr="00CC0C64">
      <w:t>ERC Starting Grant n. 284940</w:t>
    </w:r>
    <w:r w:rsidRPr="00CC0C64">
      <w:tab/>
    </w:r>
  </w:p>
  <w:p w:rsidR="00100DCE" w:rsidRPr="000A3C77" w:rsidRDefault="00100DCE" w:rsidP="00CC0C64">
    <w:pPr>
      <w:pStyle w:val="Header"/>
      <w:rPr>
        <w:sz w:val="20"/>
      </w:rPr>
    </w:pPr>
    <w:r w:rsidRPr="000A3C77">
      <w:rPr>
        <w:sz w:val="20"/>
      </w:rPr>
      <w:t xml:space="preserve">This document is made available under a </w:t>
    </w:r>
    <w:hyperlink r:id="rId2" w:history="1">
      <w:r w:rsidRPr="000A3C77">
        <w:rPr>
          <w:rStyle w:val="Hyperlink"/>
          <w:sz w:val="20"/>
        </w:rPr>
        <w:t>Creative Commons Attribution-NonCommerical 4.0 International License</w:t>
      </w:r>
    </w:hyperlink>
    <w:r w:rsidRPr="000A3C77">
      <w:rPr>
        <w:sz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20"/>
    <w:rsid w:val="000012E0"/>
    <w:rsid w:val="00002123"/>
    <w:rsid w:val="0000347A"/>
    <w:rsid w:val="00004DC4"/>
    <w:rsid w:val="00005CFD"/>
    <w:rsid w:val="00011297"/>
    <w:rsid w:val="00023D60"/>
    <w:rsid w:val="00027D37"/>
    <w:rsid w:val="00030FC4"/>
    <w:rsid w:val="00030FD9"/>
    <w:rsid w:val="0003568F"/>
    <w:rsid w:val="000360C2"/>
    <w:rsid w:val="00036DF5"/>
    <w:rsid w:val="000439C5"/>
    <w:rsid w:val="0005100D"/>
    <w:rsid w:val="000513C8"/>
    <w:rsid w:val="00055FBA"/>
    <w:rsid w:val="00060833"/>
    <w:rsid w:val="00060BF9"/>
    <w:rsid w:val="00061B78"/>
    <w:rsid w:val="00065429"/>
    <w:rsid w:val="000776C3"/>
    <w:rsid w:val="00077A70"/>
    <w:rsid w:val="0008091C"/>
    <w:rsid w:val="00080E50"/>
    <w:rsid w:val="000901B6"/>
    <w:rsid w:val="00090CDA"/>
    <w:rsid w:val="00095C90"/>
    <w:rsid w:val="000A3922"/>
    <w:rsid w:val="000A3924"/>
    <w:rsid w:val="000A3C77"/>
    <w:rsid w:val="000A4CC4"/>
    <w:rsid w:val="000B11C1"/>
    <w:rsid w:val="000B1FE0"/>
    <w:rsid w:val="000B2441"/>
    <w:rsid w:val="000B5A73"/>
    <w:rsid w:val="000B692C"/>
    <w:rsid w:val="000B712B"/>
    <w:rsid w:val="000C081E"/>
    <w:rsid w:val="000C3001"/>
    <w:rsid w:val="000C3610"/>
    <w:rsid w:val="000D21A8"/>
    <w:rsid w:val="000D22F3"/>
    <w:rsid w:val="000D2BE1"/>
    <w:rsid w:val="000D3035"/>
    <w:rsid w:val="000D4022"/>
    <w:rsid w:val="000D47C4"/>
    <w:rsid w:val="000D525E"/>
    <w:rsid w:val="000E0879"/>
    <w:rsid w:val="000E3DAC"/>
    <w:rsid w:val="000E4ACE"/>
    <w:rsid w:val="000F182E"/>
    <w:rsid w:val="000F1F5B"/>
    <w:rsid w:val="000F27B3"/>
    <w:rsid w:val="000F3671"/>
    <w:rsid w:val="000F45FC"/>
    <w:rsid w:val="000F5FD2"/>
    <w:rsid w:val="001000EC"/>
    <w:rsid w:val="00100DCE"/>
    <w:rsid w:val="00100E36"/>
    <w:rsid w:val="00102FCF"/>
    <w:rsid w:val="00103C1A"/>
    <w:rsid w:val="00104067"/>
    <w:rsid w:val="001042C7"/>
    <w:rsid w:val="00105995"/>
    <w:rsid w:val="00111685"/>
    <w:rsid w:val="00112634"/>
    <w:rsid w:val="001135E4"/>
    <w:rsid w:val="0012034A"/>
    <w:rsid w:val="001220BA"/>
    <w:rsid w:val="00124410"/>
    <w:rsid w:val="00130A97"/>
    <w:rsid w:val="0013237C"/>
    <w:rsid w:val="001328FE"/>
    <w:rsid w:val="001337F9"/>
    <w:rsid w:val="00135190"/>
    <w:rsid w:val="00142896"/>
    <w:rsid w:val="001438EC"/>
    <w:rsid w:val="001447DC"/>
    <w:rsid w:val="00146593"/>
    <w:rsid w:val="00153201"/>
    <w:rsid w:val="00156B9B"/>
    <w:rsid w:val="0016111B"/>
    <w:rsid w:val="00162547"/>
    <w:rsid w:val="00170C2B"/>
    <w:rsid w:val="00170C81"/>
    <w:rsid w:val="00175DC3"/>
    <w:rsid w:val="0017706F"/>
    <w:rsid w:val="00181285"/>
    <w:rsid w:val="0018246B"/>
    <w:rsid w:val="0018278D"/>
    <w:rsid w:val="0018441D"/>
    <w:rsid w:val="00184ECC"/>
    <w:rsid w:val="00184FD9"/>
    <w:rsid w:val="00186FA7"/>
    <w:rsid w:val="001879AF"/>
    <w:rsid w:val="00187A73"/>
    <w:rsid w:val="00192D7D"/>
    <w:rsid w:val="00194F38"/>
    <w:rsid w:val="0019649E"/>
    <w:rsid w:val="001976B1"/>
    <w:rsid w:val="001A0509"/>
    <w:rsid w:val="001A0BD6"/>
    <w:rsid w:val="001A0D17"/>
    <w:rsid w:val="001A2BEE"/>
    <w:rsid w:val="001A4940"/>
    <w:rsid w:val="001B1930"/>
    <w:rsid w:val="001B61F4"/>
    <w:rsid w:val="001C084A"/>
    <w:rsid w:val="001C30ED"/>
    <w:rsid w:val="001C33BA"/>
    <w:rsid w:val="001C358E"/>
    <w:rsid w:val="001C3FF9"/>
    <w:rsid w:val="001C73A7"/>
    <w:rsid w:val="001D0980"/>
    <w:rsid w:val="001D17CA"/>
    <w:rsid w:val="001D36B1"/>
    <w:rsid w:val="001E6E8B"/>
    <w:rsid w:val="001E7B02"/>
    <w:rsid w:val="001F3D9F"/>
    <w:rsid w:val="001F5242"/>
    <w:rsid w:val="00202C44"/>
    <w:rsid w:val="00206A21"/>
    <w:rsid w:val="00207FA6"/>
    <w:rsid w:val="00210409"/>
    <w:rsid w:val="00210C8B"/>
    <w:rsid w:val="00214CF3"/>
    <w:rsid w:val="00221661"/>
    <w:rsid w:val="002223FF"/>
    <w:rsid w:val="002226C4"/>
    <w:rsid w:val="00223594"/>
    <w:rsid w:val="002235FC"/>
    <w:rsid w:val="00223B46"/>
    <w:rsid w:val="002255E7"/>
    <w:rsid w:val="00225954"/>
    <w:rsid w:val="00226818"/>
    <w:rsid w:val="00226858"/>
    <w:rsid w:val="00226EEB"/>
    <w:rsid w:val="00226F01"/>
    <w:rsid w:val="002336D0"/>
    <w:rsid w:val="00235D1C"/>
    <w:rsid w:val="00245981"/>
    <w:rsid w:val="002463C7"/>
    <w:rsid w:val="00246EA7"/>
    <w:rsid w:val="002471E7"/>
    <w:rsid w:val="00247E81"/>
    <w:rsid w:val="00250B74"/>
    <w:rsid w:val="002526D3"/>
    <w:rsid w:val="00252E54"/>
    <w:rsid w:val="002540CE"/>
    <w:rsid w:val="0026498B"/>
    <w:rsid w:val="00267A1B"/>
    <w:rsid w:val="0027027B"/>
    <w:rsid w:val="00271FAA"/>
    <w:rsid w:val="00273F93"/>
    <w:rsid w:val="00274A45"/>
    <w:rsid w:val="00275802"/>
    <w:rsid w:val="00282557"/>
    <w:rsid w:val="00283E77"/>
    <w:rsid w:val="002855DE"/>
    <w:rsid w:val="002859B6"/>
    <w:rsid w:val="0028739D"/>
    <w:rsid w:val="0028752C"/>
    <w:rsid w:val="00287777"/>
    <w:rsid w:val="002A0E4E"/>
    <w:rsid w:val="002A3228"/>
    <w:rsid w:val="002A3B58"/>
    <w:rsid w:val="002A45D5"/>
    <w:rsid w:val="002A5169"/>
    <w:rsid w:val="002B0FBA"/>
    <w:rsid w:val="002B1983"/>
    <w:rsid w:val="002B2B06"/>
    <w:rsid w:val="002C1DF3"/>
    <w:rsid w:val="002C2C09"/>
    <w:rsid w:val="002C4F3F"/>
    <w:rsid w:val="002C6F1A"/>
    <w:rsid w:val="002D2BCE"/>
    <w:rsid w:val="002D2D8B"/>
    <w:rsid w:val="002D5E37"/>
    <w:rsid w:val="002D6F59"/>
    <w:rsid w:val="002D7A89"/>
    <w:rsid w:val="002E2A7B"/>
    <w:rsid w:val="002E674C"/>
    <w:rsid w:val="002F098C"/>
    <w:rsid w:val="002F473D"/>
    <w:rsid w:val="002F48FE"/>
    <w:rsid w:val="002F523E"/>
    <w:rsid w:val="002F573C"/>
    <w:rsid w:val="002F7453"/>
    <w:rsid w:val="00305A00"/>
    <w:rsid w:val="0030767E"/>
    <w:rsid w:val="00307D4E"/>
    <w:rsid w:val="003108D1"/>
    <w:rsid w:val="00315552"/>
    <w:rsid w:val="0031593B"/>
    <w:rsid w:val="003159A8"/>
    <w:rsid w:val="003163AD"/>
    <w:rsid w:val="00316592"/>
    <w:rsid w:val="0031726A"/>
    <w:rsid w:val="00322026"/>
    <w:rsid w:val="00323C73"/>
    <w:rsid w:val="00323D22"/>
    <w:rsid w:val="00326A21"/>
    <w:rsid w:val="00330BE0"/>
    <w:rsid w:val="0033465D"/>
    <w:rsid w:val="00340F83"/>
    <w:rsid w:val="00341B06"/>
    <w:rsid w:val="003453C8"/>
    <w:rsid w:val="00345613"/>
    <w:rsid w:val="00355388"/>
    <w:rsid w:val="00357B7F"/>
    <w:rsid w:val="00363532"/>
    <w:rsid w:val="003637FB"/>
    <w:rsid w:val="003674E0"/>
    <w:rsid w:val="00367C6C"/>
    <w:rsid w:val="00370918"/>
    <w:rsid w:val="00382F49"/>
    <w:rsid w:val="00384E93"/>
    <w:rsid w:val="00385F83"/>
    <w:rsid w:val="00392943"/>
    <w:rsid w:val="003929D1"/>
    <w:rsid w:val="00392C8A"/>
    <w:rsid w:val="003938DC"/>
    <w:rsid w:val="00394D58"/>
    <w:rsid w:val="003A2F82"/>
    <w:rsid w:val="003A5C5B"/>
    <w:rsid w:val="003A5F76"/>
    <w:rsid w:val="003B396A"/>
    <w:rsid w:val="003B5EF5"/>
    <w:rsid w:val="003B60D7"/>
    <w:rsid w:val="003B6BD5"/>
    <w:rsid w:val="003B6F94"/>
    <w:rsid w:val="003B7F53"/>
    <w:rsid w:val="003C02A5"/>
    <w:rsid w:val="003C07A5"/>
    <w:rsid w:val="003C094C"/>
    <w:rsid w:val="003C2E6F"/>
    <w:rsid w:val="003C7B12"/>
    <w:rsid w:val="003D06AA"/>
    <w:rsid w:val="003D2D3F"/>
    <w:rsid w:val="003D4839"/>
    <w:rsid w:val="003E09C1"/>
    <w:rsid w:val="003E2008"/>
    <w:rsid w:val="003E356D"/>
    <w:rsid w:val="003E46BA"/>
    <w:rsid w:val="003E603E"/>
    <w:rsid w:val="003E6886"/>
    <w:rsid w:val="003F1C8F"/>
    <w:rsid w:val="003F25D3"/>
    <w:rsid w:val="003F2D5A"/>
    <w:rsid w:val="003F54F2"/>
    <w:rsid w:val="003F6245"/>
    <w:rsid w:val="003F7FB8"/>
    <w:rsid w:val="0040221E"/>
    <w:rsid w:val="004038F6"/>
    <w:rsid w:val="00404971"/>
    <w:rsid w:val="00406EC1"/>
    <w:rsid w:val="004076BA"/>
    <w:rsid w:val="004107E3"/>
    <w:rsid w:val="00410E11"/>
    <w:rsid w:val="00410EE6"/>
    <w:rsid w:val="004118F7"/>
    <w:rsid w:val="00414132"/>
    <w:rsid w:val="00414535"/>
    <w:rsid w:val="00415B6A"/>
    <w:rsid w:val="0041748E"/>
    <w:rsid w:val="00420CE8"/>
    <w:rsid w:val="00423703"/>
    <w:rsid w:val="004253B1"/>
    <w:rsid w:val="004334F1"/>
    <w:rsid w:val="00442FDC"/>
    <w:rsid w:val="00444EB6"/>
    <w:rsid w:val="0045231E"/>
    <w:rsid w:val="00456AF0"/>
    <w:rsid w:val="00456B1B"/>
    <w:rsid w:val="00466AFC"/>
    <w:rsid w:val="00466F21"/>
    <w:rsid w:val="00467C37"/>
    <w:rsid w:val="0047021E"/>
    <w:rsid w:val="00471B8D"/>
    <w:rsid w:val="004738E8"/>
    <w:rsid w:val="00474EBD"/>
    <w:rsid w:val="00480361"/>
    <w:rsid w:val="004811C2"/>
    <w:rsid w:val="00485B4C"/>
    <w:rsid w:val="00485BC4"/>
    <w:rsid w:val="0048750E"/>
    <w:rsid w:val="00493F61"/>
    <w:rsid w:val="00494E1F"/>
    <w:rsid w:val="00495EC5"/>
    <w:rsid w:val="0049651C"/>
    <w:rsid w:val="00496C29"/>
    <w:rsid w:val="00497E94"/>
    <w:rsid w:val="004A3281"/>
    <w:rsid w:val="004A4EEA"/>
    <w:rsid w:val="004A6A05"/>
    <w:rsid w:val="004A6A78"/>
    <w:rsid w:val="004A6E21"/>
    <w:rsid w:val="004B0414"/>
    <w:rsid w:val="004B09FA"/>
    <w:rsid w:val="004B14F3"/>
    <w:rsid w:val="004B2AC7"/>
    <w:rsid w:val="004B3C88"/>
    <w:rsid w:val="004C17D3"/>
    <w:rsid w:val="004C2601"/>
    <w:rsid w:val="004C3908"/>
    <w:rsid w:val="004C6BD8"/>
    <w:rsid w:val="004C7609"/>
    <w:rsid w:val="004D01DF"/>
    <w:rsid w:val="004D10A9"/>
    <w:rsid w:val="004D4415"/>
    <w:rsid w:val="004D5825"/>
    <w:rsid w:val="004D5BE1"/>
    <w:rsid w:val="004D77D3"/>
    <w:rsid w:val="004D78A3"/>
    <w:rsid w:val="004E01EA"/>
    <w:rsid w:val="004E096F"/>
    <w:rsid w:val="004E19ED"/>
    <w:rsid w:val="004E486E"/>
    <w:rsid w:val="004E6715"/>
    <w:rsid w:val="004F1B94"/>
    <w:rsid w:val="004F7782"/>
    <w:rsid w:val="004F79CA"/>
    <w:rsid w:val="00502675"/>
    <w:rsid w:val="005038EA"/>
    <w:rsid w:val="00503D60"/>
    <w:rsid w:val="00504D6E"/>
    <w:rsid w:val="0050562A"/>
    <w:rsid w:val="00512425"/>
    <w:rsid w:val="00515547"/>
    <w:rsid w:val="00522553"/>
    <w:rsid w:val="00523FCA"/>
    <w:rsid w:val="00524170"/>
    <w:rsid w:val="00524AD3"/>
    <w:rsid w:val="0052711B"/>
    <w:rsid w:val="005310B9"/>
    <w:rsid w:val="0053134B"/>
    <w:rsid w:val="005326AA"/>
    <w:rsid w:val="005330C3"/>
    <w:rsid w:val="005377F4"/>
    <w:rsid w:val="00541637"/>
    <w:rsid w:val="00541C8C"/>
    <w:rsid w:val="00544B9B"/>
    <w:rsid w:val="00550BED"/>
    <w:rsid w:val="005534F8"/>
    <w:rsid w:val="00554AEB"/>
    <w:rsid w:val="00561D4E"/>
    <w:rsid w:val="00563FF4"/>
    <w:rsid w:val="00566ADD"/>
    <w:rsid w:val="005706DC"/>
    <w:rsid w:val="0057187E"/>
    <w:rsid w:val="005722D6"/>
    <w:rsid w:val="00576468"/>
    <w:rsid w:val="00580756"/>
    <w:rsid w:val="00586B91"/>
    <w:rsid w:val="00590237"/>
    <w:rsid w:val="005913D3"/>
    <w:rsid w:val="00592216"/>
    <w:rsid w:val="005979D5"/>
    <w:rsid w:val="005A0233"/>
    <w:rsid w:val="005A045D"/>
    <w:rsid w:val="005A479F"/>
    <w:rsid w:val="005A54BA"/>
    <w:rsid w:val="005B150F"/>
    <w:rsid w:val="005B1F51"/>
    <w:rsid w:val="005B22B6"/>
    <w:rsid w:val="005C0B1D"/>
    <w:rsid w:val="005C1312"/>
    <w:rsid w:val="005C2CE6"/>
    <w:rsid w:val="005C3145"/>
    <w:rsid w:val="005C3FD9"/>
    <w:rsid w:val="005C45C4"/>
    <w:rsid w:val="005C68B6"/>
    <w:rsid w:val="005C7646"/>
    <w:rsid w:val="005D1C2C"/>
    <w:rsid w:val="005D71A9"/>
    <w:rsid w:val="005D7B15"/>
    <w:rsid w:val="005D7BCA"/>
    <w:rsid w:val="005E0137"/>
    <w:rsid w:val="005E1D7C"/>
    <w:rsid w:val="005E3679"/>
    <w:rsid w:val="005F18C8"/>
    <w:rsid w:val="005F42AC"/>
    <w:rsid w:val="005F504B"/>
    <w:rsid w:val="005F7F0B"/>
    <w:rsid w:val="006026C5"/>
    <w:rsid w:val="00602A37"/>
    <w:rsid w:val="0060465D"/>
    <w:rsid w:val="00607962"/>
    <w:rsid w:val="00614467"/>
    <w:rsid w:val="006144B2"/>
    <w:rsid w:val="00614A52"/>
    <w:rsid w:val="00615D54"/>
    <w:rsid w:val="006174D2"/>
    <w:rsid w:val="00620A3B"/>
    <w:rsid w:val="00621E2D"/>
    <w:rsid w:val="0063299C"/>
    <w:rsid w:val="006335E7"/>
    <w:rsid w:val="00636187"/>
    <w:rsid w:val="00636D58"/>
    <w:rsid w:val="006406BC"/>
    <w:rsid w:val="00645471"/>
    <w:rsid w:val="00647517"/>
    <w:rsid w:val="00650707"/>
    <w:rsid w:val="00653259"/>
    <w:rsid w:val="006537AA"/>
    <w:rsid w:val="00653F96"/>
    <w:rsid w:val="0065411F"/>
    <w:rsid w:val="00655A4D"/>
    <w:rsid w:val="00656437"/>
    <w:rsid w:val="00656B6D"/>
    <w:rsid w:val="006620E8"/>
    <w:rsid w:val="006649E4"/>
    <w:rsid w:val="0066778B"/>
    <w:rsid w:val="00670852"/>
    <w:rsid w:val="0067217C"/>
    <w:rsid w:val="006923B7"/>
    <w:rsid w:val="006944B4"/>
    <w:rsid w:val="006A23E5"/>
    <w:rsid w:val="006A410D"/>
    <w:rsid w:val="006A4485"/>
    <w:rsid w:val="006A6600"/>
    <w:rsid w:val="006A73FE"/>
    <w:rsid w:val="006B082F"/>
    <w:rsid w:val="006B0842"/>
    <w:rsid w:val="006B193F"/>
    <w:rsid w:val="006B4D72"/>
    <w:rsid w:val="006B6022"/>
    <w:rsid w:val="006C0182"/>
    <w:rsid w:val="006C20CA"/>
    <w:rsid w:val="006C2C48"/>
    <w:rsid w:val="006D4460"/>
    <w:rsid w:val="006D4EA1"/>
    <w:rsid w:val="006D585D"/>
    <w:rsid w:val="006E0EFA"/>
    <w:rsid w:val="006E188A"/>
    <w:rsid w:val="006E1CB8"/>
    <w:rsid w:val="006E1FBB"/>
    <w:rsid w:val="006E2934"/>
    <w:rsid w:val="006E2CCC"/>
    <w:rsid w:val="006F030C"/>
    <w:rsid w:val="006F3245"/>
    <w:rsid w:val="006F43A5"/>
    <w:rsid w:val="006F503E"/>
    <w:rsid w:val="006F655A"/>
    <w:rsid w:val="006F747D"/>
    <w:rsid w:val="006F766A"/>
    <w:rsid w:val="007056BC"/>
    <w:rsid w:val="00706396"/>
    <w:rsid w:val="00711517"/>
    <w:rsid w:val="0071248E"/>
    <w:rsid w:val="00713041"/>
    <w:rsid w:val="007137AD"/>
    <w:rsid w:val="00715D1F"/>
    <w:rsid w:val="0071710A"/>
    <w:rsid w:val="007200EA"/>
    <w:rsid w:val="00722EB0"/>
    <w:rsid w:val="00723B09"/>
    <w:rsid w:val="00726B3E"/>
    <w:rsid w:val="00727A7E"/>
    <w:rsid w:val="0073676F"/>
    <w:rsid w:val="0074036C"/>
    <w:rsid w:val="00741010"/>
    <w:rsid w:val="00751703"/>
    <w:rsid w:val="007521CB"/>
    <w:rsid w:val="00752856"/>
    <w:rsid w:val="00754D18"/>
    <w:rsid w:val="00755A02"/>
    <w:rsid w:val="00756A5B"/>
    <w:rsid w:val="00760495"/>
    <w:rsid w:val="00761956"/>
    <w:rsid w:val="007631A3"/>
    <w:rsid w:val="0076657E"/>
    <w:rsid w:val="00767470"/>
    <w:rsid w:val="00767702"/>
    <w:rsid w:val="0077192F"/>
    <w:rsid w:val="00772F13"/>
    <w:rsid w:val="007732BF"/>
    <w:rsid w:val="007766F5"/>
    <w:rsid w:val="00776B65"/>
    <w:rsid w:val="00783AB1"/>
    <w:rsid w:val="00784B5B"/>
    <w:rsid w:val="0078561A"/>
    <w:rsid w:val="00785803"/>
    <w:rsid w:val="00786A8A"/>
    <w:rsid w:val="0078763E"/>
    <w:rsid w:val="0079172D"/>
    <w:rsid w:val="00791C4A"/>
    <w:rsid w:val="007A4BB2"/>
    <w:rsid w:val="007A62E4"/>
    <w:rsid w:val="007B17F5"/>
    <w:rsid w:val="007B24B6"/>
    <w:rsid w:val="007B72D6"/>
    <w:rsid w:val="007C316F"/>
    <w:rsid w:val="007C335D"/>
    <w:rsid w:val="007C3FEA"/>
    <w:rsid w:val="007C4DE7"/>
    <w:rsid w:val="007D0ED4"/>
    <w:rsid w:val="007D345D"/>
    <w:rsid w:val="007D4930"/>
    <w:rsid w:val="007D5954"/>
    <w:rsid w:val="007D7E6C"/>
    <w:rsid w:val="007E333F"/>
    <w:rsid w:val="007E6F5B"/>
    <w:rsid w:val="007E7122"/>
    <w:rsid w:val="007E7542"/>
    <w:rsid w:val="008002F2"/>
    <w:rsid w:val="008003D9"/>
    <w:rsid w:val="00805CA2"/>
    <w:rsid w:val="00810107"/>
    <w:rsid w:val="008107EA"/>
    <w:rsid w:val="008117BA"/>
    <w:rsid w:val="00811DEB"/>
    <w:rsid w:val="00820AEE"/>
    <w:rsid w:val="00821883"/>
    <w:rsid w:val="00822ABF"/>
    <w:rsid w:val="00824356"/>
    <w:rsid w:val="00825A96"/>
    <w:rsid w:val="00832A44"/>
    <w:rsid w:val="00833247"/>
    <w:rsid w:val="00833774"/>
    <w:rsid w:val="00836D20"/>
    <w:rsid w:val="0083737E"/>
    <w:rsid w:val="00842797"/>
    <w:rsid w:val="008435AD"/>
    <w:rsid w:val="0084478A"/>
    <w:rsid w:val="00844799"/>
    <w:rsid w:val="00845AE9"/>
    <w:rsid w:val="00846C72"/>
    <w:rsid w:val="008536D9"/>
    <w:rsid w:val="00854705"/>
    <w:rsid w:val="0085492F"/>
    <w:rsid w:val="00857B18"/>
    <w:rsid w:val="00861778"/>
    <w:rsid w:val="00861A36"/>
    <w:rsid w:val="008622F1"/>
    <w:rsid w:val="008630F1"/>
    <w:rsid w:val="00865970"/>
    <w:rsid w:val="00865B7B"/>
    <w:rsid w:val="00865CB3"/>
    <w:rsid w:val="00866F6A"/>
    <w:rsid w:val="0086778D"/>
    <w:rsid w:val="00870BC1"/>
    <w:rsid w:val="00872852"/>
    <w:rsid w:val="00875DC1"/>
    <w:rsid w:val="0087603B"/>
    <w:rsid w:val="00876D60"/>
    <w:rsid w:val="00876DD4"/>
    <w:rsid w:val="00877616"/>
    <w:rsid w:val="00877AA2"/>
    <w:rsid w:val="008808DC"/>
    <w:rsid w:val="00880D84"/>
    <w:rsid w:val="00881A00"/>
    <w:rsid w:val="008827E0"/>
    <w:rsid w:val="00884369"/>
    <w:rsid w:val="00884FC7"/>
    <w:rsid w:val="00886055"/>
    <w:rsid w:val="00887651"/>
    <w:rsid w:val="00890553"/>
    <w:rsid w:val="0089535D"/>
    <w:rsid w:val="008A2280"/>
    <w:rsid w:val="008A26E3"/>
    <w:rsid w:val="008A2A30"/>
    <w:rsid w:val="008A32A4"/>
    <w:rsid w:val="008A43C5"/>
    <w:rsid w:val="008A49BB"/>
    <w:rsid w:val="008A50B3"/>
    <w:rsid w:val="008A52EF"/>
    <w:rsid w:val="008A56A2"/>
    <w:rsid w:val="008A5D20"/>
    <w:rsid w:val="008A63B8"/>
    <w:rsid w:val="008A69CA"/>
    <w:rsid w:val="008B12A3"/>
    <w:rsid w:val="008B529D"/>
    <w:rsid w:val="008B5DD2"/>
    <w:rsid w:val="008B7220"/>
    <w:rsid w:val="008B7A40"/>
    <w:rsid w:val="008C0A39"/>
    <w:rsid w:val="008C18C5"/>
    <w:rsid w:val="008C1BDC"/>
    <w:rsid w:val="008C2245"/>
    <w:rsid w:val="008C4D30"/>
    <w:rsid w:val="008C50EA"/>
    <w:rsid w:val="008C5433"/>
    <w:rsid w:val="008C6B44"/>
    <w:rsid w:val="008D0940"/>
    <w:rsid w:val="008D2928"/>
    <w:rsid w:val="008D556E"/>
    <w:rsid w:val="008D6991"/>
    <w:rsid w:val="008D7E85"/>
    <w:rsid w:val="008E0721"/>
    <w:rsid w:val="008E1770"/>
    <w:rsid w:val="008E1B0C"/>
    <w:rsid w:val="008E4033"/>
    <w:rsid w:val="008E7B3D"/>
    <w:rsid w:val="008E7EE0"/>
    <w:rsid w:val="008F02ED"/>
    <w:rsid w:val="008F17AD"/>
    <w:rsid w:val="008F3B45"/>
    <w:rsid w:val="008F4526"/>
    <w:rsid w:val="008F4C36"/>
    <w:rsid w:val="008F6A9A"/>
    <w:rsid w:val="008F6DF3"/>
    <w:rsid w:val="008F79DF"/>
    <w:rsid w:val="0090213D"/>
    <w:rsid w:val="009025C7"/>
    <w:rsid w:val="00903887"/>
    <w:rsid w:val="009046E5"/>
    <w:rsid w:val="00904D32"/>
    <w:rsid w:val="009071C6"/>
    <w:rsid w:val="00910125"/>
    <w:rsid w:val="00910776"/>
    <w:rsid w:val="00910DC0"/>
    <w:rsid w:val="00915749"/>
    <w:rsid w:val="00924DEF"/>
    <w:rsid w:val="00924FAB"/>
    <w:rsid w:val="00925CEB"/>
    <w:rsid w:val="00932283"/>
    <w:rsid w:val="009357A3"/>
    <w:rsid w:val="009374DC"/>
    <w:rsid w:val="0093756E"/>
    <w:rsid w:val="00940EFB"/>
    <w:rsid w:val="00940FE4"/>
    <w:rsid w:val="00942731"/>
    <w:rsid w:val="009451D9"/>
    <w:rsid w:val="009453EA"/>
    <w:rsid w:val="00950814"/>
    <w:rsid w:val="00951903"/>
    <w:rsid w:val="00951B39"/>
    <w:rsid w:val="009520C2"/>
    <w:rsid w:val="00952385"/>
    <w:rsid w:val="0095452F"/>
    <w:rsid w:val="00954814"/>
    <w:rsid w:val="0096015C"/>
    <w:rsid w:val="00962E56"/>
    <w:rsid w:val="00963474"/>
    <w:rsid w:val="009643DF"/>
    <w:rsid w:val="0096494E"/>
    <w:rsid w:val="00970494"/>
    <w:rsid w:val="00971253"/>
    <w:rsid w:val="009773F5"/>
    <w:rsid w:val="00980F77"/>
    <w:rsid w:val="00982CD2"/>
    <w:rsid w:val="00982E5D"/>
    <w:rsid w:val="00986FB8"/>
    <w:rsid w:val="00987504"/>
    <w:rsid w:val="00992E6F"/>
    <w:rsid w:val="00993733"/>
    <w:rsid w:val="009952A2"/>
    <w:rsid w:val="00995338"/>
    <w:rsid w:val="00997CF5"/>
    <w:rsid w:val="009A1419"/>
    <w:rsid w:val="009A2753"/>
    <w:rsid w:val="009A4228"/>
    <w:rsid w:val="009A4D98"/>
    <w:rsid w:val="009A4E1A"/>
    <w:rsid w:val="009A7EF9"/>
    <w:rsid w:val="009B1341"/>
    <w:rsid w:val="009B2056"/>
    <w:rsid w:val="009B36F5"/>
    <w:rsid w:val="009B3905"/>
    <w:rsid w:val="009B41D1"/>
    <w:rsid w:val="009B47C6"/>
    <w:rsid w:val="009B4A0C"/>
    <w:rsid w:val="009B5095"/>
    <w:rsid w:val="009C0D83"/>
    <w:rsid w:val="009C1EDB"/>
    <w:rsid w:val="009C49E4"/>
    <w:rsid w:val="009C6667"/>
    <w:rsid w:val="009D0500"/>
    <w:rsid w:val="009D40FD"/>
    <w:rsid w:val="009D58F1"/>
    <w:rsid w:val="009D746C"/>
    <w:rsid w:val="009D74C0"/>
    <w:rsid w:val="009E0863"/>
    <w:rsid w:val="009E4451"/>
    <w:rsid w:val="009E4E86"/>
    <w:rsid w:val="00A00630"/>
    <w:rsid w:val="00A01B7B"/>
    <w:rsid w:val="00A028C0"/>
    <w:rsid w:val="00A10487"/>
    <w:rsid w:val="00A148BE"/>
    <w:rsid w:val="00A22023"/>
    <w:rsid w:val="00A225B2"/>
    <w:rsid w:val="00A30A73"/>
    <w:rsid w:val="00A41D9F"/>
    <w:rsid w:val="00A44771"/>
    <w:rsid w:val="00A45FC0"/>
    <w:rsid w:val="00A4659E"/>
    <w:rsid w:val="00A50EC4"/>
    <w:rsid w:val="00A678C9"/>
    <w:rsid w:val="00A70301"/>
    <w:rsid w:val="00A704ED"/>
    <w:rsid w:val="00A75840"/>
    <w:rsid w:val="00A76DC6"/>
    <w:rsid w:val="00A8299A"/>
    <w:rsid w:val="00A83FA4"/>
    <w:rsid w:val="00A860E0"/>
    <w:rsid w:val="00A87B28"/>
    <w:rsid w:val="00AA18DF"/>
    <w:rsid w:val="00AA1A40"/>
    <w:rsid w:val="00AA6A37"/>
    <w:rsid w:val="00AA7675"/>
    <w:rsid w:val="00AA7869"/>
    <w:rsid w:val="00AA7B9C"/>
    <w:rsid w:val="00AB0FB8"/>
    <w:rsid w:val="00AB16F0"/>
    <w:rsid w:val="00AB1D29"/>
    <w:rsid w:val="00AB5470"/>
    <w:rsid w:val="00AB5B44"/>
    <w:rsid w:val="00AB6673"/>
    <w:rsid w:val="00AB7DD6"/>
    <w:rsid w:val="00AC1DEC"/>
    <w:rsid w:val="00AC29D4"/>
    <w:rsid w:val="00AC5717"/>
    <w:rsid w:val="00AD6C55"/>
    <w:rsid w:val="00AD7A18"/>
    <w:rsid w:val="00AE2B65"/>
    <w:rsid w:val="00AE4570"/>
    <w:rsid w:val="00AE4E71"/>
    <w:rsid w:val="00AE7788"/>
    <w:rsid w:val="00AF0E09"/>
    <w:rsid w:val="00AF1190"/>
    <w:rsid w:val="00AF211A"/>
    <w:rsid w:val="00AF3E73"/>
    <w:rsid w:val="00AF4457"/>
    <w:rsid w:val="00AF6578"/>
    <w:rsid w:val="00AF725C"/>
    <w:rsid w:val="00B03030"/>
    <w:rsid w:val="00B0523D"/>
    <w:rsid w:val="00B0548E"/>
    <w:rsid w:val="00B078A2"/>
    <w:rsid w:val="00B10971"/>
    <w:rsid w:val="00B120E1"/>
    <w:rsid w:val="00B13B7B"/>
    <w:rsid w:val="00B15134"/>
    <w:rsid w:val="00B16CDE"/>
    <w:rsid w:val="00B2291C"/>
    <w:rsid w:val="00B22E07"/>
    <w:rsid w:val="00B24373"/>
    <w:rsid w:val="00B247B6"/>
    <w:rsid w:val="00B27B7E"/>
    <w:rsid w:val="00B35F07"/>
    <w:rsid w:val="00B3654F"/>
    <w:rsid w:val="00B365F0"/>
    <w:rsid w:val="00B379D4"/>
    <w:rsid w:val="00B41ABD"/>
    <w:rsid w:val="00B434E7"/>
    <w:rsid w:val="00B43D8F"/>
    <w:rsid w:val="00B44254"/>
    <w:rsid w:val="00B4763C"/>
    <w:rsid w:val="00B47EDB"/>
    <w:rsid w:val="00B50003"/>
    <w:rsid w:val="00B5195F"/>
    <w:rsid w:val="00B62BF0"/>
    <w:rsid w:val="00B63699"/>
    <w:rsid w:val="00B65D9D"/>
    <w:rsid w:val="00B70BA7"/>
    <w:rsid w:val="00B7191C"/>
    <w:rsid w:val="00B73A01"/>
    <w:rsid w:val="00B742D2"/>
    <w:rsid w:val="00B81FBC"/>
    <w:rsid w:val="00B82E34"/>
    <w:rsid w:val="00B8508D"/>
    <w:rsid w:val="00B85BD2"/>
    <w:rsid w:val="00B86859"/>
    <w:rsid w:val="00B90C47"/>
    <w:rsid w:val="00B91F62"/>
    <w:rsid w:val="00B9319A"/>
    <w:rsid w:val="00B962BD"/>
    <w:rsid w:val="00B963D0"/>
    <w:rsid w:val="00B96B09"/>
    <w:rsid w:val="00BA08B5"/>
    <w:rsid w:val="00BA1C56"/>
    <w:rsid w:val="00BA6534"/>
    <w:rsid w:val="00BB1CC0"/>
    <w:rsid w:val="00BB4FB7"/>
    <w:rsid w:val="00BB4FCA"/>
    <w:rsid w:val="00BB5596"/>
    <w:rsid w:val="00BC10AA"/>
    <w:rsid w:val="00BC3B51"/>
    <w:rsid w:val="00BC3EF9"/>
    <w:rsid w:val="00BC4A70"/>
    <w:rsid w:val="00BC60D5"/>
    <w:rsid w:val="00BD21F8"/>
    <w:rsid w:val="00BD47F9"/>
    <w:rsid w:val="00BD4A56"/>
    <w:rsid w:val="00BD4E39"/>
    <w:rsid w:val="00BE1EC6"/>
    <w:rsid w:val="00BE392A"/>
    <w:rsid w:val="00BE3EA6"/>
    <w:rsid w:val="00BE44B7"/>
    <w:rsid w:val="00BF11D4"/>
    <w:rsid w:val="00BF1EC8"/>
    <w:rsid w:val="00BF28DA"/>
    <w:rsid w:val="00BF4656"/>
    <w:rsid w:val="00BF7B7C"/>
    <w:rsid w:val="00C00C4C"/>
    <w:rsid w:val="00C0203D"/>
    <w:rsid w:val="00C02172"/>
    <w:rsid w:val="00C0269A"/>
    <w:rsid w:val="00C0716B"/>
    <w:rsid w:val="00C12053"/>
    <w:rsid w:val="00C1302A"/>
    <w:rsid w:val="00C145AE"/>
    <w:rsid w:val="00C1550E"/>
    <w:rsid w:val="00C20083"/>
    <w:rsid w:val="00C2012F"/>
    <w:rsid w:val="00C24BE7"/>
    <w:rsid w:val="00C318DE"/>
    <w:rsid w:val="00C31926"/>
    <w:rsid w:val="00C33321"/>
    <w:rsid w:val="00C354EC"/>
    <w:rsid w:val="00C37B00"/>
    <w:rsid w:val="00C415A6"/>
    <w:rsid w:val="00C4225C"/>
    <w:rsid w:val="00C430B8"/>
    <w:rsid w:val="00C4512D"/>
    <w:rsid w:val="00C46F75"/>
    <w:rsid w:val="00C5032C"/>
    <w:rsid w:val="00C50A5F"/>
    <w:rsid w:val="00C51FEE"/>
    <w:rsid w:val="00C52B05"/>
    <w:rsid w:val="00C55FEF"/>
    <w:rsid w:val="00C5739D"/>
    <w:rsid w:val="00C57AF8"/>
    <w:rsid w:val="00C60391"/>
    <w:rsid w:val="00C60AD1"/>
    <w:rsid w:val="00C63DC0"/>
    <w:rsid w:val="00C65E36"/>
    <w:rsid w:val="00C71127"/>
    <w:rsid w:val="00C8162A"/>
    <w:rsid w:val="00C85394"/>
    <w:rsid w:val="00C871A0"/>
    <w:rsid w:val="00C92803"/>
    <w:rsid w:val="00C94F7B"/>
    <w:rsid w:val="00C962F4"/>
    <w:rsid w:val="00CA0729"/>
    <w:rsid w:val="00CA1161"/>
    <w:rsid w:val="00CA29BE"/>
    <w:rsid w:val="00CA3F62"/>
    <w:rsid w:val="00CB10B9"/>
    <w:rsid w:val="00CB2AF5"/>
    <w:rsid w:val="00CB416B"/>
    <w:rsid w:val="00CB5AC1"/>
    <w:rsid w:val="00CC0053"/>
    <w:rsid w:val="00CC099B"/>
    <w:rsid w:val="00CC0C64"/>
    <w:rsid w:val="00CC3F56"/>
    <w:rsid w:val="00CC42DF"/>
    <w:rsid w:val="00CC4924"/>
    <w:rsid w:val="00CC50DE"/>
    <w:rsid w:val="00CC5443"/>
    <w:rsid w:val="00CC7C2B"/>
    <w:rsid w:val="00CD09EE"/>
    <w:rsid w:val="00CD46F3"/>
    <w:rsid w:val="00CD5247"/>
    <w:rsid w:val="00CD74D5"/>
    <w:rsid w:val="00CD7A0C"/>
    <w:rsid w:val="00CE388C"/>
    <w:rsid w:val="00CE4E1B"/>
    <w:rsid w:val="00CF248B"/>
    <w:rsid w:val="00CF3075"/>
    <w:rsid w:val="00CF4632"/>
    <w:rsid w:val="00CF7843"/>
    <w:rsid w:val="00D05268"/>
    <w:rsid w:val="00D0657D"/>
    <w:rsid w:val="00D24C2A"/>
    <w:rsid w:val="00D273D4"/>
    <w:rsid w:val="00D27419"/>
    <w:rsid w:val="00D327A4"/>
    <w:rsid w:val="00D344EF"/>
    <w:rsid w:val="00D41C08"/>
    <w:rsid w:val="00D42CE1"/>
    <w:rsid w:val="00D43E36"/>
    <w:rsid w:val="00D44E27"/>
    <w:rsid w:val="00D45258"/>
    <w:rsid w:val="00D45938"/>
    <w:rsid w:val="00D46A94"/>
    <w:rsid w:val="00D47ED6"/>
    <w:rsid w:val="00D500AA"/>
    <w:rsid w:val="00D51483"/>
    <w:rsid w:val="00D51596"/>
    <w:rsid w:val="00D51C4E"/>
    <w:rsid w:val="00D5495D"/>
    <w:rsid w:val="00D5798B"/>
    <w:rsid w:val="00D60034"/>
    <w:rsid w:val="00D60BAE"/>
    <w:rsid w:val="00D61085"/>
    <w:rsid w:val="00D6288C"/>
    <w:rsid w:val="00D62DC0"/>
    <w:rsid w:val="00D634BC"/>
    <w:rsid w:val="00D64E1A"/>
    <w:rsid w:val="00D65FAF"/>
    <w:rsid w:val="00D70C2C"/>
    <w:rsid w:val="00D740BC"/>
    <w:rsid w:val="00D8345B"/>
    <w:rsid w:val="00D854DB"/>
    <w:rsid w:val="00D85835"/>
    <w:rsid w:val="00D86CCC"/>
    <w:rsid w:val="00D909F1"/>
    <w:rsid w:val="00D9146E"/>
    <w:rsid w:val="00D92DA5"/>
    <w:rsid w:val="00D936E3"/>
    <w:rsid w:val="00D93D9B"/>
    <w:rsid w:val="00D94A95"/>
    <w:rsid w:val="00D963B1"/>
    <w:rsid w:val="00D96EA0"/>
    <w:rsid w:val="00DA04EA"/>
    <w:rsid w:val="00DA0A39"/>
    <w:rsid w:val="00DA4E57"/>
    <w:rsid w:val="00DA5CC5"/>
    <w:rsid w:val="00DB0184"/>
    <w:rsid w:val="00DB4C96"/>
    <w:rsid w:val="00DC08E4"/>
    <w:rsid w:val="00DC25D7"/>
    <w:rsid w:val="00DC50CE"/>
    <w:rsid w:val="00DC5951"/>
    <w:rsid w:val="00DD1505"/>
    <w:rsid w:val="00DD1D6F"/>
    <w:rsid w:val="00DD2BBE"/>
    <w:rsid w:val="00DD2C9E"/>
    <w:rsid w:val="00DE1340"/>
    <w:rsid w:val="00DE6113"/>
    <w:rsid w:val="00DE67F9"/>
    <w:rsid w:val="00DF2BBD"/>
    <w:rsid w:val="00DF4693"/>
    <w:rsid w:val="00DF4FAC"/>
    <w:rsid w:val="00DF6B99"/>
    <w:rsid w:val="00E007D4"/>
    <w:rsid w:val="00E00B08"/>
    <w:rsid w:val="00E05A80"/>
    <w:rsid w:val="00E06B5E"/>
    <w:rsid w:val="00E15CA6"/>
    <w:rsid w:val="00E22527"/>
    <w:rsid w:val="00E22C1C"/>
    <w:rsid w:val="00E24EDA"/>
    <w:rsid w:val="00E25ED6"/>
    <w:rsid w:val="00E26090"/>
    <w:rsid w:val="00E31115"/>
    <w:rsid w:val="00E31D7D"/>
    <w:rsid w:val="00E41920"/>
    <w:rsid w:val="00E4249C"/>
    <w:rsid w:val="00E42CA0"/>
    <w:rsid w:val="00E45266"/>
    <w:rsid w:val="00E465FD"/>
    <w:rsid w:val="00E46701"/>
    <w:rsid w:val="00E47968"/>
    <w:rsid w:val="00E51B91"/>
    <w:rsid w:val="00E56848"/>
    <w:rsid w:val="00E56DAE"/>
    <w:rsid w:val="00E6014D"/>
    <w:rsid w:val="00E60DBD"/>
    <w:rsid w:val="00E63856"/>
    <w:rsid w:val="00E64063"/>
    <w:rsid w:val="00E658C1"/>
    <w:rsid w:val="00E71F82"/>
    <w:rsid w:val="00E72458"/>
    <w:rsid w:val="00E724FA"/>
    <w:rsid w:val="00E82191"/>
    <w:rsid w:val="00E82283"/>
    <w:rsid w:val="00E855F8"/>
    <w:rsid w:val="00E859D6"/>
    <w:rsid w:val="00E85E12"/>
    <w:rsid w:val="00E86154"/>
    <w:rsid w:val="00E91143"/>
    <w:rsid w:val="00E935DF"/>
    <w:rsid w:val="00E93B62"/>
    <w:rsid w:val="00E97217"/>
    <w:rsid w:val="00EA0D99"/>
    <w:rsid w:val="00EA5F43"/>
    <w:rsid w:val="00EB0F5F"/>
    <w:rsid w:val="00EB5485"/>
    <w:rsid w:val="00EB7284"/>
    <w:rsid w:val="00EB74D2"/>
    <w:rsid w:val="00EC077A"/>
    <w:rsid w:val="00EC13E2"/>
    <w:rsid w:val="00EC15D8"/>
    <w:rsid w:val="00EC3563"/>
    <w:rsid w:val="00EC365E"/>
    <w:rsid w:val="00EC741A"/>
    <w:rsid w:val="00ED02D9"/>
    <w:rsid w:val="00ED0B32"/>
    <w:rsid w:val="00ED15DC"/>
    <w:rsid w:val="00ED19C2"/>
    <w:rsid w:val="00ED1CA7"/>
    <w:rsid w:val="00ED1F84"/>
    <w:rsid w:val="00ED6FBF"/>
    <w:rsid w:val="00EE1004"/>
    <w:rsid w:val="00EE1565"/>
    <w:rsid w:val="00EE2BA9"/>
    <w:rsid w:val="00EE31BB"/>
    <w:rsid w:val="00EE328E"/>
    <w:rsid w:val="00EE4058"/>
    <w:rsid w:val="00EE45D0"/>
    <w:rsid w:val="00EE6526"/>
    <w:rsid w:val="00EF4875"/>
    <w:rsid w:val="00EF6E05"/>
    <w:rsid w:val="00EF749B"/>
    <w:rsid w:val="00F01372"/>
    <w:rsid w:val="00F01DAF"/>
    <w:rsid w:val="00F02040"/>
    <w:rsid w:val="00F025B5"/>
    <w:rsid w:val="00F035F7"/>
    <w:rsid w:val="00F03C6E"/>
    <w:rsid w:val="00F046D0"/>
    <w:rsid w:val="00F04F04"/>
    <w:rsid w:val="00F05326"/>
    <w:rsid w:val="00F06285"/>
    <w:rsid w:val="00F0746F"/>
    <w:rsid w:val="00F07EE5"/>
    <w:rsid w:val="00F1226E"/>
    <w:rsid w:val="00F12863"/>
    <w:rsid w:val="00F13093"/>
    <w:rsid w:val="00F1578F"/>
    <w:rsid w:val="00F227A9"/>
    <w:rsid w:val="00F23D20"/>
    <w:rsid w:val="00F251FF"/>
    <w:rsid w:val="00F31E79"/>
    <w:rsid w:val="00F34372"/>
    <w:rsid w:val="00F343C6"/>
    <w:rsid w:val="00F43391"/>
    <w:rsid w:val="00F43392"/>
    <w:rsid w:val="00F464E7"/>
    <w:rsid w:val="00F51AB3"/>
    <w:rsid w:val="00F5232D"/>
    <w:rsid w:val="00F52CFB"/>
    <w:rsid w:val="00F53F0C"/>
    <w:rsid w:val="00F54806"/>
    <w:rsid w:val="00F56489"/>
    <w:rsid w:val="00F60C53"/>
    <w:rsid w:val="00F6312B"/>
    <w:rsid w:val="00F6477F"/>
    <w:rsid w:val="00F65ADA"/>
    <w:rsid w:val="00F71B0E"/>
    <w:rsid w:val="00F71DA4"/>
    <w:rsid w:val="00F769B0"/>
    <w:rsid w:val="00F8024C"/>
    <w:rsid w:val="00F825A7"/>
    <w:rsid w:val="00F83822"/>
    <w:rsid w:val="00F84ACF"/>
    <w:rsid w:val="00F9528A"/>
    <w:rsid w:val="00F97EC1"/>
    <w:rsid w:val="00FA02FB"/>
    <w:rsid w:val="00FA1A64"/>
    <w:rsid w:val="00FA1C79"/>
    <w:rsid w:val="00FA7CE0"/>
    <w:rsid w:val="00FA7EBB"/>
    <w:rsid w:val="00FB1F22"/>
    <w:rsid w:val="00FC0A44"/>
    <w:rsid w:val="00FC1304"/>
    <w:rsid w:val="00FC3463"/>
    <w:rsid w:val="00FC588E"/>
    <w:rsid w:val="00FC5D32"/>
    <w:rsid w:val="00FC7DC4"/>
    <w:rsid w:val="00FD035E"/>
    <w:rsid w:val="00FD0785"/>
    <w:rsid w:val="00FD1176"/>
    <w:rsid w:val="00FD2D3D"/>
    <w:rsid w:val="00FD5B18"/>
    <w:rsid w:val="00FD6CD3"/>
    <w:rsid w:val="00FE22FD"/>
    <w:rsid w:val="00FF04BC"/>
    <w:rsid w:val="00FF5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0CA"/>
    <w:pPr>
      <w:pBdr>
        <w:top w:val="none" w:sz="0" w:space="0" w:color="000000"/>
        <w:left w:val="none" w:sz="0" w:space="0" w:color="000000"/>
        <w:bottom w:val="none" w:sz="0" w:space="0" w:color="000000"/>
        <w:right w:val="none" w:sz="0" w:space="0" w:color="000000"/>
        <w:between w:val="none" w:sz="0" w:space="0" w:color="000000"/>
      </w:pBd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5E0137"/>
  </w:style>
  <w:style w:type="paragraph" w:customStyle="1" w:styleId="Style2">
    <w:name w:val="Style2"/>
    <w:basedOn w:val="Normal"/>
    <w:qFormat/>
    <w:rsid w:val="005E0137"/>
    <w:pPr>
      <w:spacing w:after="40"/>
    </w:pPr>
  </w:style>
  <w:style w:type="paragraph" w:customStyle="1" w:styleId="Style4">
    <w:name w:val="Style4"/>
    <w:basedOn w:val="Normal"/>
    <w:next w:val="Normal"/>
    <w:qFormat/>
    <w:rsid w:val="00A44771"/>
    <w:pPr>
      <w:spacing w:line="360" w:lineRule="auto"/>
      <w:ind w:firstLine="720"/>
    </w:pPr>
    <w:rPr>
      <w:b/>
    </w:rPr>
  </w:style>
  <w:style w:type="paragraph" w:styleId="FootnoteText">
    <w:name w:val="footnote text"/>
    <w:basedOn w:val="Normal"/>
    <w:link w:val="FootnoteTextChar"/>
    <w:uiPriority w:val="99"/>
    <w:semiHidden/>
    <w:unhideWhenUsed/>
    <w:rsid w:val="006C20CA"/>
    <w:pPr>
      <w:pBdr>
        <w:top w:val="none" w:sz="0" w:space="0" w:color="auto"/>
        <w:left w:val="none" w:sz="0" w:space="0" w:color="auto"/>
        <w:bottom w:val="none" w:sz="0" w:space="0" w:color="auto"/>
        <w:right w:val="none" w:sz="0" w:space="0" w:color="auto"/>
        <w:between w:val="none" w:sz="0" w:space="0" w:color="auto"/>
      </w:pBdr>
    </w:pPr>
    <w:rPr>
      <w:sz w:val="20"/>
      <w:szCs w:val="20"/>
    </w:rPr>
  </w:style>
  <w:style w:type="character" w:customStyle="1" w:styleId="FootnoteTextChar">
    <w:name w:val="Footnote Text Char"/>
    <w:basedOn w:val="DefaultParagraphFont"/>
    <w:link w:val="FootnoteText"/>
    <w:uiPriority w:val="99"/>
    <w:semiHidden/>
    <w:rsid w:val="006C20CA"/>
    <w:rPr>
      <w:sz w:val="20"/>
      <w:szCs w:val="20"/>
    </w:rPr>
  </w:style>
  <w:style w:type="character" w:styleId="FootnoteReference">
    <w:name w:val="footnote reference"/>
    <w:basedOn w:val="DefaultParagraphFont"/>
    <w:uiPriority w:val="99"/>
    <w:semiHidden/>
    <w:unhideWhenUsed/>
    <w:rsid w:val="004C6BD8"/>
    <w:rPr>
      <w:vertAlign w:val="superscript"/>
    </w:rPr>
  </w:style>
  <w:style w:type="character" w:styleId="CommentReference">
    <w:name w:val="annotation reference"/>
    <w:basedOn w:val="DefaultParagraphFont"/>
    <w:uiPriority w:val="99"/>
    <w:semiHidden/>
    <w:unhideWhenUsed/>
    <w:rsid w:val="003B396A"/>
    <w:rPr>
      <w:sz w:val="16"/>
      <w:szCs w:val="16"/>
    </w:rPr>
  </w:style>
  <w:style w:type="paragraph" w:styleId="CommentText">
    <w:name w:val="annotation text"/>
    <w:basedOn w:val="Normal"/>
    <w:link w:val="CommentTextChar"/>
    <w:uiPriority w:val="99"/>
    <w:semiHidden/>
    <w:unhideWhenUsed/>
    <w:rsid w:val="003B396A"/>
    <w:pPr>
      <w:pBdr>
        <w:top w:val="none" w:sz="0" w:space="0" w:color="auto"/>
        <w:left w:val="none" w:sz="0" w:space="0" w:color="auto"/>
        <w:bottom w:val="none" w:sz="0" w:space="0" w:color="auto"/>
        <w:right w:val="none" w:sz="0" w:space="0" w:color="auto"/>
        <w:between w:val="none" w:sz="0" w:space="0" w:color="auto"/>
      </w:pBdr>
    </w:pPr>
    <w:rPr>
      <w:rFonts w:ascii="Times New Roman" w:hAnsi="Times New Roman"/>
      <w:b/>
      <w:sz w:val="20"/>
      <w:szCs w:val="20"/>
    </w:rPr>
  </w:style>
  <w:style w:type="character" w:customStyle="1" w:styleId="CommentTextChar">
    <w:name w:val="Comment Text Char"/>
    <w:basedOn w:val="DefaultParagraphFont"/>
    <w:link w:val="CommentText"/>
    <w:uiPriority w:val="99"/>
    <w:semiHidden/>
    <w:rsid w:val="003B396A"/>
    <w:rPr>
      <w:rFonts w:ascii="Times New Roman" w:hAnsi="Times New Roman"/>
      <w:b/>
      <w:sz w:val="20"/>
      <w:szCs w:val="20"/>
    </w:rPr>
  </w:style>
  <w:style w:type="paragraph" w:styleId="BalloonText">
    <w:name w:val="Balloon Text"/>
    <w:basedOn w:val="Normal"/>
    <w:link w:val="BalloonTextChar"/>
    <w:uiPriority w:val="99"/>
    <w:semiHidden/>
    <w:unhideWhenUsed/>
    <w:rsid w:val="003B39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96A"/>
    <w:rPr>
      <w:rFonts w:ascii="Segoe UI" w:hAnsi="Segoe UI" w:cs="Segoe UI"/>
      <w:sz w:val="18"/>
      <w:szCs w:val="18"/>
    </w:rPr>
  </w:style>
  <w:style w:type="paragraph" w:styleId="Header">
    <w:name w:val="header"/>
    <w:basedOn w:val="Normal"/>
    <w:link w:val="HeaderChar"/>
    <w:uiPriority w:val="99"/>
    <w:unhideWhenUsed/>
    <w:rsid w:val="00B27B7E"/>
    <w:pPr>
      <w:tabs>
        <w:tab w:val="center" w:pos="4513"/>
        <w:tab w:val="right" w:pos="9026"/>
      </w:tabs>
    </w:pPr>
  </w:style>
  <w:style w:type="character" w:customStyle="1" w:styleId="HeaderChar">
    <w:name w:val="Header Char"/>
    <w:basedOn w:val="DefaultParagraphFont"/>
    <w:link w:val="Header"/>
    <w:uiPriority w:val="99"/>
    <w:rsid w:val="00B27B7E"/>
  </w:style>
  <w:style w:type="paragraph" w:styleId="Footer">
    <w:name w:val="footer"/>
    <w:basedOn w:val="Normal"/>
    <w:link w:val="FooterChar"/>
    <w:uiPriority w:val="99"/>
    <w:unhideWhenUsed/>
    <w:rsid w:val="00B27B7E"/>
    <w:pPr>
      <w:tabs>
        <w:tab w:val="center" w:pos="4513"/>
        <w:tab w:val="right" w:pos="9026"/>
      </w:tabs>
    </w:pPr>
  </w:style>
  <w:style w:type="character" w:customStyle="1" w:styleId="FooterChar">
    <w:name w:val="Footer Char"/>
    <w:basedOn w:val="DefaultParagraphFont"/>
    <w:link w:val="Footer"/>
    <w:uiPriority w:val="99"/>
    <w:rsid w:val="00B27B7E"/>
  </w:style>
  <w:style w:type="character" w:styleId="Hyperlink">
    <w:name w:val="Hyperlink"/>
    <w:basedOn w:val="DefaultParagraphFont"/>
    <w:uiPriority w:val="99"/>
    <w:unhideWhenUsed/>
    <w:rsid w:val="00833247"/>
    <w:rPr>
      <w:color w:val="0563C1" w:themeColor="hyperlink"/>
      <w:u w:val="single"/>
    </w:rPr>
  </w:style>
  <w:style w:type="paragraph" w:styleId="EndnoteText">
    <w:name w:val="endnote text"/>
    <w:basedOn w:val="Normal"/>
    <w:link w:val="EndnoteTextChar"/>
    <w:uiPriority w:val="99"/>
    <w:semiHidden/>
    <w:unhideWhenUsed/>
    <w:rsid w:val="006C20CA"/>
    <w:rPr>
      <w:sz w:val="20"/>
      <w:szCs w:val="20"/>
    </w:rPr>
  </w:style>
  <w:style w:type="character" w:customStyle="1" w:styleId="EndnoteTextChar">
    <w:name w:val="Endnote Text Char"/>
    <w:basedOn w:val="DefaultParagraphFont"/>
    <w:link w:val="EndnoteText"/>
    <w:uiPriority w:val="99"/>
    <w:semiHidden/>
    <w:rsid w:val="006C20CA"/>
    <w:rPr>
      <w:sz w:val="20"/>
      <w:szCs w:val="20"/>
    </w:rPr>
  </w:style>
  <w:style w:type="character" w:styleId="EndnoteReference">
    <w:name w:val="endnote reference"/>
    <w:basedOn w:val="DefaultParagraphFont"/>
    <w:uiPriority w:val="99"/>
    <w:semiHidden/>
    <w:unhideWhenUsed/>
    <w:rsid w:val="006C20CA"/>
    <w:rPr>
      <w:vertAlign w:val="superscript"/>
    </w:rPr>
  </w:style>
  <w:style w:type="character" w:styleId="FollowedHyperlink">
    <w:name w:val="FollowedHyperlink"/>
    <w:basedOn w:val="DefaultParagraphFont"/>
    <w:uiPriority w:val="99"/>
    <w:semiHidden/>
    <w:unhideWhenUsed/>
    <w:rsid w:val="0030767E"/>
    <w:rPr>
      <w:color w:val="954F72" w:themeColor="followedHyperlink"/>
      <w:u w:val="single"/>
    </w:rPr>
  </w:style>
  <w:style w:type="table" w:styleId="TableGrid">
    <w:name w:val="Table Grid"/>
    <w:basedOn w:val="TableNormal"/>
    <w:uiPriority w:val="39"/>
    <w:rsid w:val="00F12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0CA"/>
    <w:pPr>
      <w:pBdr>
        <w:top w:val="none" w:sz="0" w:space="0" w:color="000000"/>
        <w:left w:val="none" w:sz="0" w:space="0" w:color="000000"/>
        <w:bottom w:val="none" w:sz="0" w:space="0" w:color="000000"/>
        <w:right w:val="none" w:sz="0" w:space="0" w:color="000000"/>
        <w:between w:val="none" w:sz="0" w:space="0" w:color="000000"/>
      </w:pBd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5E0137"/>
  </w:style>
  <w:style w:type="paragraph" w:customStyle="1" w:styleId="Style2">
    <w:name w:val="Style2"/>
    <w:basedOn w:val="Normal"/>
    <w:qFormat/>
    <w:rsid w:val="005E0137"/>
    <w:pPr>
      <w:spacing w:after="40"/>
    </w:pPr>
  </w:style>
  <w:style w:type="paragraph" w:customStyle="1" w:styleId="Style4">
    <w:name w:val="Style4"/>
    <w:basedOn w:val="Normal"/>
    <w:next w:val="Normal"/>
    <w:qFormat/>
    <w:rsid w:val="00A44771"/>
    <w:pPr>
      <w:spacing w:line="360" w:lineRule="auto"/>
      <w:ind w:firstLine="720"/>
    </w:pPr>
    <w:rPr>
      <w:b/>
    </w:rPr>
  </w:style>
  <w:style w:type="paragraph" w:styleId="FootnoteText">
    <w:name w:val="footnote text"/>
    <w:basedOn w:val="Normal"/>
    <w:link w:val="FootnoteTextChar"/>
    <w:uiPriority w:val="99"/>
    <w:semiHidden/>
    <w:unhideWhenUsed/>
    <w:rsid w:val="006C20CA"/>
    <w:pPr>
      <w:pBdr>
        <w:top w:val="none" w:sz="0" w:space="0" w:color="auto"/>
        <w:left w:val="none" w:sz="0" w:space="0" w:color="auto"/>
        <w:bottom w:val="none" w:sz="0" w:space="0" w:color="auto"/>
        <w:right w:val="none" w:sz="0" w:space="0" w:color="auto"/>
        <w:between w:val="none" w:sz="0" w:space="0" w:color="auto"/>
      </w:pBdr>
    </w:pPr>
    <w:rPr>
      <w:sz w:val="20"/>
      <w:szCs w:val="20"/>
    </w:rPr>
  </w:style>
  <w:style w:type="character" w:customStyle="1" w:styleId="FootnoteTextChar">
    <w:name w:val="Footnote Text Char"/>
    <w:basedOn w:val="DefaultParagraphFont"/>
    <w:link w:val="FootnoteText"/>
    <w:uiPriority w:val="99"/>
    <w:semiHidden/>
    <w:rsid w:val="006C20CA"/>
    <w:rPr>
      <w:sz w:val="20"/>
      <w:szCs w:val="20"/>
    </w:rPr>
  </w:style>
  <w:style w:type="character" w:styleId="FootnoteReference">
    <w:name w:val="footnote reference"/>
    <w:basedOn w:val="DefaultParagraphFont"/>
    <w:uiPriority w:val="99"/>
    <w:semiHidden/>
    <w:unhideWhenUsed/>
    <w:rsid w:val="004C6BD8"/>
    <w:rPr>
      <w:vertAlign w:val="superscript"/>
    </w:rPr>
  </w:style>
  <w:style w:type="character" w:styleId="CommentReference">
    <w:name w:val="annotation reference"/>
    <w:basedOn w:val="DefaultParagraphFont"/>
    <w:uiPriority w:val="99"/>
    <w:semiHidden/>
    <w:unhideWhenUsed/>
    <w:rsid w:val="003B396A"/>
    <w:rPr>
      <w:sz w:val="16"/>
      <w:szCs w:val="16"/>
    </w:rPr>
  </w:style>
  <w:style w:type="paragraph" w:styleId="CommentText">
    <w:name w:val="annotation text"/>
    <w:basedOn w:val="Normal"/>
    <w:link w:val="CommentTextChar"/>
    <w:uiPriority w:val="99"/>
    <w:semiHidden/>
    <w:unhideWhenUsed/>
    <w:rsid w:val="003B396A"/>
    <w:pPr>
      <w:pBdr>
        <w:top w:val="none" w:sz="0" w:space="0" w:color="auto"/>
        <w:left w:val="none" w:sz="0" w:space="0" w:color="auto"/>
        <w:bottom w:val="none" w:sz="0" w:space="0" w:color="auto"/>
        <w:right w:val="none" w:sz="0" w:space="0" w:color="auto"/>
        <w:between w:val="none" w:sz="0" w:space="0" w:color="auto"/>
      </w:pBdr>
    </w:pPr>
    <w:rPr>
      <w:rFonts w:ascii="Times New Roman" w:hAnsi="Times New Roman"/>
      <w:b/>
      <w:sz w:val="20"/>
      <w:szCs w:val="20"/>
    </w:rPr>
  </w:style>
  <w:style w:type="character" w:customStyle="1" w:styleId="CommentTextChar">
    <w:name w:val="Comment Text Char"/>
    <w:basedOn w:val="DefaultParagraphFont"/>
    <w:link w:val="CommentText"/>
    <w:uiPriority w:val="99"/>
    <w:semiHidden/>
    <w:rsid w:val="003B396A"/>
    <w:rPr>
      <w:rFonts w:ascii="Times New Roman" w:hAnsi="Times New Roman"/>
      <w:b/>
      <w:sz w:val="20"/>
      <w:szCs w:val="20"/>
    </w:rPr>
  </w:style>
  <w:style w:type="paragraph" w:styleId="BalloonText">
    <w:name w:val="Balloon Text"/>
    <w:basedOn w:val="Normal"/>
    <w:link w:val="BalloonTextChar"/>
    <w:uiPriority w:val="99"/>
    <w:semiHidden/>
    <w:unhideWhenUsed/>
    <w:rsid w:val="003B39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96A"/>
    <w:rPr>
      <w:rFonts w:ascii="Segoe UI" w:hAnsi="Segoe UI" w:cs="Segoe UI"/>
      <w:sz w:val="18"/>
      <w:szCs w:val="18"/>
    </w:rPr>
  </w:style>
  <w:style w:type="paragraph" w:styleId="Header">
    <w:name w:val="header"/>
    <w:basedOn w:val="Normal"/>
    <w:link w:val="HeaderChar"/>
    <w:uiPriority w:val="99"/>
    <w:unhideWhenUsed/>
    <w:rsid w:val="00B27B7E"/>
    <w:pPr>
      <w:tabs>
        <w:tab w:val="center" w:pos="4513"/>
        <w:tab w:val="right" w:pos="9026"/>
      </w:tabs>
    </w:pPr>
  </w:style>
  <w:style w:type="character" w:customStyle="1" w:styleId="HeaderChar">
    <w:name w:val="Header Char"/>
    <w:basedOn w:val="DefaultParagraphFont"/>
    <w:link w:val="Header"/>
    <w:uiPriority w:val="99"/>
    <w:rsid w:val="00B27B7E"/>
  </w:style>
  <w:style w:type="paragraph" w:styleId="Footer">
    <w:name w:val="footer"/>
    <w:basedOn w:val="Normal"/>
    <w:link w:val="FooterChar"/>
    <w:uiPriority w:val="99"/>
    <w:unhideWhenUsed/>
    <w:rsid w:val="00B27B7E"/>
    <w:pPr>
      <w:tabs>
        <w:tab w:val="center" w:pos="4513"/>
        <w:tab w:val="right" w:pos="9026"/>
      </w:tabs>
    </w:pPr>
  </w:style>
  <w:style w:type="character" w:customStyle="1" w:styleId="FooterChar">
    <w:name w:val="Footer Char"/>
    <w:basedOn w:val="DefaultParagraphFont"/>
    <w:link w:val="Footer"/>
    <w:uiPriority w:val="99"/>
    <w:rsid w:val="00B27B7E"/>
  </w:style>
  <w:style w:type="character" w:styleId="Hyperlink">
    <w:name w:val="Hyperlink"/>
    <w:basedOn w:val="DefaultParagraphFont"/>
    <w:uiPriority w:val="99"/>
    <w:unhideWhenUsed/>
    <w:rsid w:val="00833247"/>
    <w:rPr>
      <w:color w:val="0563C1" w:themeColor="hyperlink"/>
      <w:u w:val="single"/>
    </w:rPr>
  </w:style>
  <w:style w:type="paragraph" w:styleId="EndnoteText">
    <w:name w:val="endnote text"/>
    <w:basedOn w:val="Normal"/>
    <w:link w:val="EndnoteTextChar"/>
    <w:uiPriority w:val="99"/>
    <w:semiHidden/>
    <w:unhideWhenUsed/>
    <w:rsid w:val="006C20CA"/>
    <w:rPr>
      <w:sz w:val="20"/>
      <w:szCs w:val="20"/>
    </w:rPr>
  </w:style>
  <w:style w:type="character" w:customStyle="1" w:styleId="EndnoteTextChar">
    <w:name w:val="Endnote Text Char"/>
    <w:basedOn w:val="DefaultParagraphFont"/>
    <w:link w:val="EndnoteText"/>
    <w:uiPriority w:val="99"/>
    <w:semiHidden/>
    <w:rsid w:val="006C20CA"/>
    <w:rPr>
      <w:sz w:val="20"/>
      <w:szCs w:val="20"/>
    </w:rPr>
  </w:style>
  <w:style w:type="character" w:styleId="EndnoteReference">
    <w:name w:val="endnote reference"/>
    <w:basedOn w:val="DefaultParagraphFont"/>
    <w:uiPriority w:val="99"/>
    <w:semiHidden/>
    <w:unhideWhenUsed/>
    <w:rsid w:val="006C20CA"/>
    <w:rPr>
      <w:vertAlign w:val="superscript"/>
    </w:rPr>
  </w:style>
  <w:style w:type="character" w:styleId="FollowedHyperlink">
    <w:name w:val="FollowedHyperlink"/>
    <w:basedOn w:val="DefaultParagraphFont"/>
    <w:uiPriority w:val="99"/>
    <w:semiHidden/>
    <w:unhideWhenUsed/>
    <w:rsid w:val="0030767E"/>
    <w:rPr>
      <w:color w:val="954F72" w:themeColor="followedHyperlink"/>
      <w:u w:val="single"/>
    </w:rPr>
  </w:style>
  <w:style w:type="table" w:styleId="TableGrid">
    <w:name w:val="Table Grid"/>
    <w:basedOn w:val="TableNormal"/>
    <w:uiPriority w:val="39"/>
    <w:rsid w:val="00F12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69997">
      <w:bodyDiv w:val="1"/>
      <w:marLeft w:val="0"/>
      <w:marRight w:val="0"/>
      <w:marTop w:val="0"/>
      <w:marBottom w:val="0"/>
      <w:divBdr>
        <w:top w:val="none" w:sz="0" w:space="0" w:color="auto"/>
        <w:left w:val="none" w:sz="0" w:space="0" w:color="auto"/>
        <w:bottom w:val="none" w:sz="0" w:space="0" w:color="auto"/>
        <w:right w:val="none" w:sz="0" w:space="0" w:color="auto"/>
      </w:divBdr>
    </w:div>
    <w:div w:id="105134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arinelives.org/" TargetMode="External"/><Relationship Id="rId2" Type="http://schemas.openxmlformats.org/officeDocument/2006/relationships/hyperlink" Target="http://humanities.exeter.ac.uk/history/research/centres/maritime/research/modernity/" TargetMode="External"/><Relationship Id="rId1" Type="http://schemas.openxmlformats.org/officeDocument/2006/relationships/hyperlink" Target="mailto:richard.blakemore@history.ox.ac.uk" TargetMode="External"/><Relationship Id="rId4" Type="http://schemas.openxmlformats.org/officeDocument/2006/relationships/hyperlink" Target="http://humanities.exeter.ac.uk/media/universityofexeter/collegeofhumanities/history/researchcentres/centreformaritimehistoricalstudies/pdfs/RolesOnBoard.pdf"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creativecommons.org/licenses/by-nc/4.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2800A-CC56-43D1-9A9F-D8AD56DA6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1309</TotalTime>
  <Pages>14</Pages>
  <Words>3679</Words>
  <Characters>20971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Blakemore</dc:creator>
  <cp:keywords/>
  <dc:description/>
  <cp:lastModifiedBy>Petrie, Hannah</cp:lastModifiedBy>
  <cp:revision>1040</cp:revision>
  <dcterms:created xsi:type="dcterms:W3CDTF">2014-12-17T13:14:00Z</dcterms:created>
  <dcterms:modified xsi:type="dcterms:W3CDTF">2016-01-29T10:34:00Z</dcterms:modified>
</cp:coreProperties>
</file>